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A79" w:rsidRDefault="00F65E2B" w:rsidP="008759E4">
      <w:pPr>
        <w:jc w:val="right"/>
      </w:pPr>
      <w:r>
        <w:rPr>
          <w:noProof/>
          <w:lang w:eastAsia="en-GB"/>
        </w:rPr>
        <w:drawing>
          <wp:anchor distT="0" distB="0" distL="114300" distR="114300" simplePos="0" relativeHeight="251657728" behindDoc="1" locked="0" layoutInCell="1" allowOverlap="1">
            <wp:simplePos x="0" y="0"/>
            <wp:positionH relativeFrom="column">
              <wp:posOffset>165735</wp:posOffset>
            </wp:positionH>
            <wp:positionV relativeFrom="paragraph">
              <wp:posOffset>339090</wp:posOffset>
            </wp:positionV>
            <wp:extent cx="2515235" cy="862330"/>
            <wp:effectExtent l="0" t="0" r="0" b="0"/>
            <wp:wrapThrough wrapText="bothSides">
              <wp:wrapPolygon edited="0">
                <wp:start x="0" y="0"/>
                <wp:lineTo x="0" y="20996"/>
                <wp:lineTo x="21431" y="20996"/>
                <wp:lineTo x="21431" y="0"/>
                <wp:lineTo x="0" y="0"/>
              </wp:wrapPolygon>
            </wp:wrapThrough>
            <wp:docPr id="3" name="Picture 2" descr="Description: Description: Description: NPCC-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NPCC-blue-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5235" cy="862330"/>
                    </a:xfrm>
                    <a:prstGeom prst="rect">
                      <a:avLst/>
                    </a:prstGeom>
                    <a:noFill/>
                  </pic:spPr>
                </pic:pic>
              </a:graphicData>
            </a:graphic>
            <wp14:sizeRelH relativeFrom="page">
              <wp14:pctWidth>0</wp14:pctWidth>
            </wp14:sizeRelH>
            <wp14:sizeRelV relativeFrom="page">
              <wp14:pctHeight>0</wp14:pctHeight>
            </wp14:sizeRelV>
          </wp:anchor>
        </w:drawing>
      </w:r>
    </w:p>
    <w:p w:rsidR="00586A79" w:rsidRDefault="00586A79" w:rsidP="008759E4">
      <w:pPr>
        <w:jc w:val="right"/>
      </w:pPr>
    </w:p>
    <w:p w:rsidR="00586A79" w:rsidRDefault="00090E83" w:rsidP="008759E4">
      <w:pPr>
        <w:jc w:val="right"/>
      </w:pPr>
      <w:r>
        <w:rPr>
          <w:noProof/>
          <w:color w:val="1F497D"/>
          <w:lang w:eastAsia="en-GB"/>
        </w:rPr>
        <w:drawing>
          <wp:inline distT="0" distB="0" distL="0" distR="0" wp14:anchorId="2EBE76A7" wp14:editId="5BDA9FC9">
            <wp:extent cx="920750" cy="1207956"/>
            <wp:effectExtent l="0" t="0" r="0" b="0"/>
            <wp:docPr id="2" name="Picture 2" descr="cid:image001.png@01D3F266.607AE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F266.607AE89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20750" cy="1207956"/>
                    </a:xfrm>
                    <a:prstGeom prst="rect">
                      <a:avLst/>
                    </a:prstGeom>
                    <a:noFill/>
                    <a:ln>
                      <a:noFill/>
                    </a:ln>
                  </pic:spPr>
                </pic:pic>
              </a:graphicData>
            </a:graphic>
          </wp:inline>
        </w:drawing>
      </w: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6725C7" w:rsidP="006725C7">
      <w:pPr>
        <w:tabs>
          <w:tab w:val="left" w:pos="6300"/>
          <w:tab w:val="right" w:pos="9026"/>
        </w:tabs>
      </w:pPr>
      <w:r>
        <w:tab/>
      </w:r>
      <w:r>
        <w:tab/>
      </w:r>
      <w:r w:rsidR="00586A79">
        <w:t xml:space="preserve"> </w:t>
      </w:r>
    </w:p>
    <w:p w:rsidR="00586A79" w:rsidRDefault="00586A79" w:rsidP="00664214">
      <w:pPr>
        <w:jc w:val="right"/>
      </w:pPr>
      <w:r>
        <w:t xml:space="preserve"> </w:t>
      </w:r>
      <w:r>
        <w:rPr>
          <w:b/>
          <w:bCs/>
          <w:sz w:val="52"/>
          <w:szCs w:val="52"/>
        </w:rPr>
        <w:t>Protocol on the handling of</w:t>
      </w:r>
      <w:r w:rsidR="003210B1">
        <w:rPr>
          <w:b/>
          <w:bCs/>
          <w:sz w:val="52"/>
          <w:szCs w:val="52"/>
        </w:rPr>
        <w:t xml:space="preserve"> </w:t>
      </w:r>
      <w:r w:rsidR="00247BDD">
        <w:rPr>
          <w:b/>
          <w:bCs/>
          <w:sz w:val="52"/>
          <w:szCs w:val="52"/>
        </w:rPr>
        <w:t>so-called</w:t>
      </w:r>
      <w:r>
        <w:rPr>
          <w:b/>
          <w:bCs/>
          <w:sz w:val="52"/>
          <w:szCs w:val="52"/>
        </w:rPr>
        <w:t xml:space="preserve"> </w:t>
      </w:r>
      <w:r w:rsidR="00247BDD">
        <w:rPr>
          <w:b/>
          <w:bCs/>
          <w:sz w:val="52"/>
          <w:szCs w:val="52"/>
        </w:rPr>
        <w:t>‘Honour-</w:t>
      </w:r>
      <w:r>
        <w:rPr>
          <w:b/>
          <w:bCs/>
          <w:sz w:val="52"/>
          <w:szCs w:val="52"/>
        </w:rPr>
        <w:t>Based</w:t>
      </w:r>
      <w:r w:rsidR="00247BDD">
        <w:rPr>
          <w:b/>
          <w:bCs/>
          <w:sz w:val="52"/>
          <w:szCs w:val="52"/>
        </w:rPr>
        <w:t>’</w:t>
      </w:r>
      <w:r>
        <w:rPr>
          <w:b/>
          <w:bCs/>
          <w:sz w:val="52"/>
          <w:szCs w:val="52"/>
        </w:rPr>
        <w:t xml:space="preserve"> Violence/Abuse and Forced Marriage Offences between the National Police Chiefs’ Council</w:t>
      </w:r>
      <w:r w:rsidR="006F69A2">
        <w:rPr>
          <w:b/>
          <w:bCs/>
          <w:sz w:val="52"/>
          <w:szCs w:val="52"/>
        </w:rPr>
        <w:t xml:space="preserve"> and the Crown Prosecution Service</w:t>
      </w: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8759E4">
      <w:pPr>
        <w:jc w:val="right"/>
      </w:pPr>
    </w:p>
    <w:p w:rsidR="00586A79" w:rsidRDefault="00586A79" w:rsidP="00DA60CC">
      <w:pPr>
        <w:rPr>
          <w:rFonts w:ascii="Arial" w:hAnsi="Arial" w:cs="Arial"/>
        </w:rPr>
      </w:pPr>
    </w:p>
    <w:p w:rsidR="00090E83" w:rsidRDefault="00090E83" w:rsidP="00DA60CC">
      <w:pPr>
        <w:rPr>
          <w:rFonts w:ascii="Arial" w:hAnsi="Arial" w:cs="Arial"/>
        </w:rPr>
      </w:pPr>
    </w:p>
    <w:p w:rsidR="00586A79" w:rsidRDefault="00586A79" w:rsidP="00DA60CC">
      <w:pPr>
        <w:rPr>
          <w:rFonts w:ascii="Arial" w:hAnsi="Arial" w:cs="Arial"/>
          <w:b/>
        </w:rPr>
      </w:pPr>
      <w:r>
        <w:rPr>
          <w:rFonts w:ascii="Arial" w:hAnsi="Arial" w:cs="Arial"/>
          <w:b/>
        </w:rPr>
        <w:lastRenderedPageBreak/>
        <w:t>This protocol has been approved and authorised by:</w:t>
      </w:r>
    </w:p>
    <w:p w:rsidR="00586A79" w:rsidRDefault="00586A79" w:rsidP="00DA60CC">
      <w:pPr>
        <w:rPr>
          <w:rFonts w:ascii="Arial" w:hAnsi="Arial" w:cs="Arial"/>
          <w:b/>
        </w:rPr>
      </w:pPr>
    </w:p>
    <w:p w:rsidR="00586A79" w:rsidRDefault="00586A79" w:rsidP="00DA60CC">
      <w:pPr>
        <w:rPr>
          <w:rFonts w:ascii="Arial" w:hAnsi="Arial" w:cs="Arial"/>
          <w:b/>
        </w:rPr>
      </w:pPr>
    </w:p>
    <w:p w:rsidR="00586A79" w:rsidRDefault="00586A79" w:rsidP="00DA60CC">
      <w:pPr>
        <w:rPr>
          <w:rFonts w:ascii="Arial" w:hAnsi="Arial" w:cs="Arial"/>
          <w:b/>
        </w:rPr>
      </w:pPr>
    </w:p>
    <w:p w:rsidR="00586A79" w:rsidRDefault="00586A79" w:rsidP="00DA60CC">
      <w:pPr>
        <w:rPr>
          <w:rFonts w:ascii="Arial" w:hAnsi="Arial" w:cs="Arial"/>
          <w:b/>
        </w:rPr>
      </w:pPr>
      <w:r>
        <w:rPr>
          <w:rFonts w:ascii="Arial" w:hAnsi="Arial" w:cs="Arial"/>
          <w:b/>
        </w:rPr>
        <w:t>…………………………..</w:t>
      </w:r>
    </w:p>
    <w:p w:rsidR="00586A79" w:rsidRDefault="00586A79" w:rsidP="00DA60CC">
      <w:pPr>
        <w:rPr>
          <w:rFonts w:ascii="Arial" w:hAnsi="Arial" w:cs="Arial"/>
          <w:b/>
        </w:rPr>
      </w:pPr>
    </w:p>
    <w:p w:rsidR="00586A79" w:rsidRDefault="00586A79" w:rsidP="00DA60CC">
      <w:pPr>
        <w:rPr>
          <w:rFonts w:ascii="Arial" w:hAnsi="Arial" w:cs="Arial"/>
          <w:b/>
        </w:rPr>
      </w:pPr>
      <w:r>
        <w:rPr>
          <w:rFonts w:ascii="Arial" w:hAnsi="Arial" w:cs="Arial"/>
          <w:b/>
        </w:rPr>
        <w:t>Chief Police Officer [insert Police Area]</w:t>
      </w:r>
    </w:p>
    <w:p w:rsidR="00586A79" w:rsidRDefault="00586A79" w:rsidP="00DA60CC">
      <w:pPr>
        <w:rPr>
          <w:rFonts w:ascii="Arial" w:hAnsi="Arial" w:cs="Arial"/>
          <w:b/>
        </w:rPr>
      </w:pPr>
    </w:p>
    <w:p w:rsidR="00586A79" w:rsidRDefault="00586A79" w:rsidP="00DA60CC">
      <w:pPr>
        <w:rPr>
          <w:rFonts w:ascii="Arial" w:hAnsi="Arial" w:cs="Arial"/>
          <w:b/>
        </w:rPr>
      </w:pPr>
    </w:p>
    <w:p w:rsidR="00586A79" w:rsidRDefault="00586A79" w:rsidP="00DA60CC">
      <w:pPr>
        <w:rPr>
          <w:rFonts w:ascii="Arial" w:hAnsi="Arial" w:cs="Arial"/>
          <w:b/>
        </w:rPr>
      </w:pPr>
    </w:p>
    <w:p w:rsidR="00586A79" w:rsidRDefault="00586A79" w:rsidP="00DA60CC">
      <w:pPr>
        <w:rPr>
          <w:rFonts w:ascii="Arial" w:hAnsi="Arial" w:cs="Arial"/>
          <w:b/>
        </w:rPr>
      </w:pPr>
      <w:r>
        <w:rPr>
          <w:rFonts w:ascii="Arial" w:hAnsi="Arial" w:cs="Arial"/>
          <w:b/>
        </w:rPr>
        <w:t>…………………………..</w:t>
      </w:r>
    </w:p>
    <w:p w:rsidR="00586A79" w:rsidRDefault="00586A79" w:rsidP="00DA60CC">
      <w:pPr>
        <w:rPr>
          <w:rFonts w:ascii="Arial" w:hAnsi="Arial" w:cs="Arial"/>
          <w:b/>
        </w:rPr>
      </w:pPr>
    </w:p>
    <w:p w:rsidR="00586A79" w:rsidRPr="00DA60CC" w:rsidRDefault="00586A79" w:rsidP="00DA60CC">
      <w:pPr>
        <w:rPr>
          <w:rFonts w:ascii="Arial" w:hAnsi="Arial" w:cs="Arial"/>
          <w:b/>
        </w:rPr>
      </w:pPr>
      <w:r>
        <w:rPr>
          <w:rFonts w:ascii="Arial" w:hAnsi="Arial" w:cs="Arial"/>
          <w:b/>
        </w:rPr>
        <w:t>Chief Crown Prosecutor [insert CPS Area]</w:t>
      </w:r>
    </w:p>
    <w:p w:rsidR="00586A79" w:rsidRDefault="00586A79" w:rsidP="008759E4">
      <w:pPr>
        <w:jc w:val="right"/>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Default="00586A79" w:rsidP="008759E4">
      <w:pPr>
        <w:rPr>
          <w:rFonts w:ascii="Arial" w:hAnsi="Arial" w:cs="Arial"/>
          <w:b/>
          <w:sz w:val="28"/>
          <w:szCs w:val="28"/>
        </w:rPr>
      </w:pPr>
    </w:p>
    <w:p w:rsidR="00586A79" w:rsidRPr="00A54FE8" w:rsidRDefault="00586A79" w:rsidP="008759E4">
      <w:pPr>
        <w:rPr>
          <w:rFonts w:ascii="Arial" w:hAnsi="Arial" w:cs="Arial"/>
          <w:b/>
          <w:sz w:val="28"/>
          <w:szCs w:val="28"/>
        </w:rPr>
      </w:pPr>
      <w:r w:rsidRPr="00A54FE8">
        <w:rPr>
          <w:rFonts w:ascii="Arial" w:hAnsi="Arial" w:cs="Arial"/>
          <w:b/>
          <w:sz w:val="28"/>
          <w:szCs w:val="28"/>
        </w:rPr>
        <w:lastRenderedPageBreak/>
        <w:t>Contents Page</w:t>
      </w:r>
    </w:p>
    <w:p w:rsidR="00586A79" w:rsidRDefault="00586A79" w:rsidP="008759E4">
      <w:pPr>
        <w:rPr>
          <w:rFonts w:ascii="Arial" w:hAnsi="Arial" w:cs="Arial"/>
          <w:b/>
        </w:rPr>
      </w:pPr>
    </w:p>
    <w:p w:rsidR="00586A79" w:rsidRDefault="00590519" w:rsidP="007247C5">
      <w:pPr>
        <w:pStyle w:val="Default"/>
        <w:rPr>
          <w:b/>
          <w:bCs/>
          <w:sz w:val="22"/>
          <w:szCs w:val="22"/>
        </w:rPr>
      </w:pPr>
      <w:hyperlink w:anchor="Section1" w:history="1">
        <w:r w:rsidR="00586A79" w:rsidRPr="00343CBA">
          <w:rPr>
            <w:rStyle w:val="Hyperlink"/>
            <w:rFonts w:cs="Arial"/>
            <w:b/>
            <w:bCs/>
            <w:sz w:val="22"/>
            <w:szCs w:val="22"/>
          </w:rPr>
          <w:t>SECTION 1 – PARTIES</w:t>
        </w:r>
      </w:hyperlink>
    </w:p>
    <w:p w:rsidR="00586A79" w:rsidRDefault="00586A79" w:rsidP="008759E4">
      <w:pPr>
        <w:rPr>
          <w:rFonts w:ascii="Arial" w:hAnsi="Arial" w:cs="Arial"/>
          <w:b/>
        </w:rPr>
      </w:pPr>
    </w:p>
    <w:p w:rsidR="00586A79" w:rsidRDefault="00590519" w:rsidP="007247C5">
      <w:pPr>
        <w:pStyle w:val="Default"/>
        <w:rPr>
          <w:b/>
          <w:bCs/>
          <w:sz w:val="22"/>
          <w:szCs w:val="22"/>
        </w:rPr>
      </w:pPr>
      <w:hyperlink w:anchor="Section2" w:history="1">
        <w:r w:rsidR="00586A79" w:rsidRPr="00343CBA">
          <w:rPr>
            <w:rStyle w:val="Hyperlink"/>
            <w:rFonts w:cs="Arial"/>
            <w:b/>
            <w:sz w:val="22"/>
            <w:szCs w:val="22"/>
          </w:rPr>
          <w:t xml:space="preserve">SECTION 2 </w:t>
        </w:r>
        <w:r w:rsidR="00586A79" w:rsidRPr="00343CBA">
          <w:rPr>
            <w:rStyle w:val="Hyperlink"/>
            <w:rFonts w:cs="Arial"/>
            <w:b/>
            <w:bCs/>
            <w:sz w:val="22"/>
            <w:szCs w:val="22"/>
          </w:rPr>
          <w:t>– INTRODUCTION AND SCOPE OF THE PROTOCOL</w:t>
        </w:r>
      </w:hyperlink>
      <w:r w:rsidR="00586A79" w:rsidRPr="00EA193D">
        <w:rPr>
          <w:b/>
          <w:bCs/>
          <w:sz w:val="22"/>
          <w:szCs w:val="22"/>
        </w:rPr>
        <w:t xml:space="preserve"> </w:t>
      </w:r>
    </w:p>
    <w:p w:rsidR="00586A79" w:rsidRDefault="00586A79" w:rsidP="007247C5">
      <w:pPr>
        <w:pStyle w:val="Default"/>
        <w:rPr>
          <w:b/>
          <w:bCs/>
          <w:sz w:val="22"/>
          <w:szCs w:val="22"/>
        </w:rPr>
      </w:pPr>
    </w:p>
    <w:p w:rsidR="00586A79" w:rsidRPr="00EA193D" w:rsidRDefault="00590519" w:rsidP="007247C5">
      <w:pPr>
        <w:pStyle w:val="Default"/>
        <w:rPr>
          <w:sz w:val="22"/>
          <w:szCs w:val="22"/>
        </w:rPr>
      </w:pPr>
      <w:hyperlink w:anchor="Section3" w:history="1">
        <w:r w:rsidR="00586A79" w:rsidRPr="00343CBA">
          <w:rPr>
            <w:rStyle w:val="Hyperlink"/>
            <w:rFonts w:cs="Arial"/>
            <w:b/>
            <w:bCs/>
            <w:sz w:val="22"/>
            <w:szCs w:val="22"/>
          </w:rPr>
          <w:t>SECTION 3 - BACKGROUND</w:t>
        </w:r>
      </w:hyperlink>
    </w:p>
    <w:p w:rsidR="00586A79" w:rsidRDefault="00586A79" w:rsidP="008759E4">
      <w:pPr>
        <w:rPr>
          <w:rFonts w:ascii="Arial" w:hAnsi="Arial" w:cs="Arial"/>
          <w:b/>
        </w:rPr>
      </w:pPr>
    </w:p>
    <w:p w:rsidR="00586A79" w:rsidRDefault="00590519" w:rsidP="008759E4">
      <w:pPr>
        <w:rPr>
          <w:rStyle w:val="Hyperlink"/>
          <w:rFonts w:ascii="Arial" w:hAnsi="Arial" w:cs="Arial"/>
          <w:b/>
          <w:bCs/>
        </w:rPr>
      </w:pPr>
      <w:hyperlink w:anchor="Section4" w:history="1">
        <w:r w:rsidR="00586A79" w:rsidRPr="00343CBA">
          <w:rPr>
            <w:rStyle w:val="Hyperlink"/>
            <w:rFonts w:ascii="Arial" w:hAnsi="Arial" w:cs="Arial"/>
            <w:b/>
            <w:bCs/>
          </w:rPr>
          <w:t>SECTION 4 – INVESTIGATION AND RISK ASSESSMENTS</w:t>
        </w:r>
      </w:hyperlink>
    </w:p>
    <w:p w:rsidR="003B3A8A" w:rsidRDefault="003B3A8A" w:rsidP="008759E4">
      <w:pPr>
        <w:rPr>
          <w:rStyle w:val="Hyperlink"/>
          <w:rFonts w:ascii="Arial" w:hAnsi="Arial" w:cs="Arial"/>
          <w:b/>
          <w:bCs/>
        </w:rPr>
      </w:pPr>
    </w:p>
    <w:p w:rsidR="003B3A8A" w:rsidRDefault="00590519" w:rsidP="003B3A8A">
      <w:pPr>
        <w:rPr>
          <w:rStyle w:val="Hyperlink"/>
          <w:rFonts w:ascii="Arial" w:hAnsi="Arial" w:cs="Arial"/>
          <w:b/>
          <w:bCs/>
        </w:rPr>
      </w:pPr>
      <w:hyperlink w:anchor="Section5" w:history="1">
        <w:r w:rsidR="003B3A8A" w:rsidRPr="009E0460">
          <w:rPr>
            <w:rStyle w:val="Hyperlink"/>
            <w:rFonts w:ascii="Arial" w:hAnsi="Arial" w:cs="Arial"/>
            <w:b/>
            <w:bCs/>
          </w:rPr>
          <w:t>SECTION 5 – PROTECTION ORDERS AND RESTRAINING ORDERS</w:t>
        </w:r>
      </w:hyperlink>
    </w:p>
    <w:p w:rsidR="003B3A8A" w:rsidRPr="00524F0F" w:rsidRDefault="003B3A8A" w:rsidP="008759E4">
      <w:pPr>
        <w:rPr>
          <w:rFonts w:ascii="Arial" w:hAnsi="Arial" w:cs="Arial"/>
          <w:b/>
          <w:color w:val="000000"/>
        </w:rPr>
      </w:pPr>
    </w:p>
    <w:p w:rsidR="00586A79" w:rsidRPr="00A34FFC" w:rsidRDefault="00590519" w:rsidP="007247C5">
      <w:pPr>
        <w:pStyle w:val="Default"/>
        <w:rPr>
          <w:sz w:val="22"/>
          <w:szCs w:val="22"/>
        </w:rPr>
      </w:pPr>
      <w:hyperlink w:anchor="Section6" w:history="1">
        <w:r w:rsidR="003B3A8A" w:rsidRPr="00A64419">
          <w:rPr>
            <w:rStyle w:val="Hyperlink"/>
            <w:rFonts w:cs="Arial"/>
            <w:b/>
            <w:bCs/>
            <w:sz w:val="22"/>
            <w:szCs w:val="22"/>
          </w:rPr>
          <w:t>SECTION 6</w:t>
        </w:r>
        <w:r w:rsidR="00586A79" w:rsidRPr="00A64419">
          <w:rPr>
            <w:rStyle w:val="Hyperlink"/>
            <w:rFonts w:cs="Arial"/>
            <w:b/>
            <w:bCs/>
            <w:sz w:val="22"/>
            <w:szCs w:val="22"/>
          </w:rPr>
          <w:t xml:space="preserve"> – REFERRAL</w:t>
        </w:r>
        <w:r w:rsidR="00524F0F" w:rsidRPr="00A64419">
          <w:rPr>
            <w:rStyle w:val="Hyperlink"/>
            <w:rFonts w:cs="Arial"/>
            <w:b/>
            <w:bCs/>
            <w:sz w:val="22"/>
            <w:szCs w:val="22"/>
          </w:rPr>
          <w:t xml:space="preserve">, </w:t>
        </w:r>
        <w:r w:rsidR="00586A79" w:rsidRPr="00A64419">
          <w:rPr>
            <w:rStyle w:val="Hyperlink"/>
            <w:rFonts w:cs="Arial"/>
            <w:b/>
            <w:bCs/>
            <w:sz w:val="22"/>
            <w:szCs w:val="22"/>
          </w:rPr>
          <w:t>CHARGING</w:t>
        </w:r>
        <w:r w:rsidR="00A64419" w:rsidRPr="00A64419">
          <w:rPr>
            <w:rStyle w:val="Hyperlink"/>
            <w:rFonts w:cs="Arial"/>
            <w:b/>
            <w:bCs/>
            <w:sz w:val="22"/>
            <w:szCs w:val="22"/>
          </w:rPr>
          <w:t xml:space="preserve"> AND DISCLOSURE</w:t>
        </w:r>
      </w:hyperlink>
      <w:r w:rsidR="00586A79">
        <w:rPr>
          <w:b/>
          <w:bCs/>
          <w:sz w:val="22"/>
          <w:szCs w:val="22"/>
        </w:rPr>
        <w:t xml:space="preserve"> </w:t>
      </w:r>
    </w:p>
    <w:p w:rsidR="00586A79" w:rsidRDefault="00586A79" w:rsidP="008759E4"/>
    <w:p w:rsidR="00586A79" w:rsidRDefault="00590519" w:rsidP="008759E4">
      <w:hyperlink w:anchor="Section7" w:history="1">
        <w:r w:rsidR="003B3A8A" w:rsidRPr="009E0460">
          <w:rPr>
            <w:rStyle w:val="Hyperlink"/>
            <w:rFonts w:ascii="Arial" w:hAnsi="Arial" w:cs="Arial"/>
            <w:b/>
            <w:bCs/>
          </w:rPr>
          <w:t>SECTION 7</w:t>
        </w:r>
        <w:r w:rsidR="00586A79" w:rsidRPr="009E0460">
          <w:rPr>
            <w:rStyle w:val="Hyperlink"/>
            <w:rFonts w:ascii="Arial" w:hAnsi="Arial" w:cs="Arial"/>
            <w:b/>
            <w:bCs/>
          </w:rPr>
          <w:t xml:space="preserve"> – CASE PREPARATION</w:t>
        </w:r>
      </w:hyperlink>
    </w:p>
    <w:p w:rsidR="00586A79" w:rsidRPr="00090E83" w:rsidRDefault="00586A79" w:rsidP="008759E4">
      <w:pPr>
        <w:rPr>
          <w:rFonts w:ascii="Arial" w:hAnsi="Arial" w:cs="Arial"/>
          <w:b/>
        </w:rPr>
      </w:pPr>
    </w:p>
    <w:p w:rsidR="00586A79" w:rsidRPr="00090E83" w:rsidRDefault="00590519" w:rsidP="008759E4">
      <w:pPr>
        <w:rPr>
          <w:rFonts w:ascii="Arial" w:hAnsi="Arial" w:cs="Arial"/>
          <w:b/>
        </w:rPr>
      </w:pPr>
      <w:hyperlink w:anchor="Section8" w:history="1">
        <w:r w:rsidR="0096232F" w:rsidRPr="00090E83">
          <w:rPr>
            <w:rStyle w:val="Hyperlink"/>
            <w:rFonts w:ascii="Arial" w:hAnsi="Arial" w:cs="Arial"/>
            <w:b/>
          </w:rPr>
          <w:t xml:space="preserve">SECTION 8 – </w:t>
        </w:r>
        <w:r w:rsidR="0096232F" w:rsidRPr="00090E83">
          <w:rPr>
            <w:rStyle w:val="Hyperlink"/>
            <w:rFonts w:ascii="Arial" w:hAnsi="Arial" w:cs="Arial"/>
            <w:b/>
            <w:bCs/>
          </w:rPr>
          <w:t>VICTIM</w:t>
        </w:r>
        <w:r w:rsidR="0096232F" w:rsidRPr="00090E83">
          <w:rPr>
            <w:rStyle w:val="Hyperlink"/>
            <w:rFonts w:ascii="Arial" w:hAnsi="Arial" w:cs="Arial"/>
            <w:b/>
          </w:rPr>
          <w:t xml:space="preserve"> </w:t>
        </w:r>
        <w:r w:rsidR="0096232F" w:rsidRPr="00090E83">
          <w:rPr>
            <w:rStyle w:val="Hyperlink"/>
            <w:rFonts w:ascii="Arial" w:hAnsi="Arial" w:cs="Arial"/>
            <w:b/>
            <w:bCs/>
          </w:rPr>
          <w:t>AND WITNESS CARE</w:t>
        </w:r>
      </w:hyperlink>
      <w:r w:rsidR="0096232F" w:rsidRPr="00090E83">
        <w:rPr>
          <w:rFonts w:ascii="Arial" w:hAnsi="Arial" w:cs="Arial"/>
          <w:b/>
          <w:bCs/>
        </w:rPr>
        <w:t xml:space="preserve"> </w:t>
      </w:r>
    </w:p>
    <w:p w:rsidR="00586A79" w:rsidRDefault="00586A79" w:rsidP="008759E4"/>
    <w:p w:rsidR="00586A79" w:rsidRPr="007247C5" w:rsidRDefault="00590519" w:rsidP="008759E4">
      <w:pPr>
        <w:rPr>
          <w:rFonts w:ascii="Arial" w:hAnsi="Arial" w:cs="Arial"/>
        </w:rPr>
      </w:pPr>
      <w:hyperlink w:anchor="Section9" w:history="1">
        <w:r w:rsidR="00586A79" w:rsidRPr="009E0460">
          <w:rPr>
            <w:rStyle w:val="Hyperlink"/>
            <w:rFonts w:ascii="Arial" w:hAnsi="Arial" w:cs="Arial"/>
            <w:b/>
            <w:bCs/>
          </w:rPr>
          <w:t xml:space="preserve">SECTION </w:t>
        </w:r>
        <w:r w:rsidR="003B3A8A" w:rsidRPr="009E0460">
          <w:rPr>
            <w:rStyle w:val="Hyperlink"/>
            <w:rFonts w:ascii="Arial" w:hAnsi="Arial" w:cs="Arial"/>
            <w:b/>
            <w:bCs/>
          </w:rPr>
          <w:t>9</w:t>
        </w:r>
        <w:r w:rsidR="00586A79" w:rsidRPr="009E0460">
          <w:rPr>
            <w:rStyle w:val="Hyperlink"/>
            <w:rFonts w:ascii="Arial" w:hAnsi="Arial" w:cs="Arial"/>
            <w:b/>
            <w:bCs/>
          </w:rPr>
          <w:t xml:space="preserve"> – TRIAL</w:t>
        </w:r>
      </w:hyperlink>
      <w:r w:rsidR="00586A79" w:rsidRPr="00D1594F">
        <w:rPr>
          <w:rFonts w:ascii="Arial" w:hAnsi="Arial" w:cs="Arial"/>
          <w:b/>
          <w:bCs/>
        </w:rPr>
        <w:t xml:space="preserve"> </w:t>
      </w:r>
    </w:p>
    <w:p w:rsidR="003B3A8A" w:rsidRDefault="003B3A8A" w:rsidP="008759E4">
      <w:pPr>
        <w:rPr>
          <w:rStyle w:val="Hyperlink"/>
          <w:rFonts w:ascii="Arial" w:hAnsi="Arial" w:cs="Arial"/>
          <w:b/>
          <w:bCs/>
        </w:rPr>
      </w:pPr>
    </w:p>
    <w:p w:rsidR="00586A79" w:rsidRDefault="00590519" w:rsidP="008759E4">
      <w:hyperlink w:anchor="Section10" w:history="1">
        <w:r w:rsidR="00586A79" w:rsidRPr="009E0460">
          <w:rPr>
            <w:rStyle w:val="Hyperlink"/>
            <w:rFonts w:ascii="Arial" w:hAnsi="Arial" w:cs="Arial"/>
            <w:b/>
            <w:bCs/>
          </w:rPr>
          <w:t>SECTION 10 – SHARING LESSONS LEARNT</w:t>
        </w:r>
      </w:hyperlink>
    </w:p>
    <w:p w:rsidR="00586A79" w:rsidRDefault="00586A79" w:rsidP="008759E4"/>
    <w:p w:rsidR="00586A79" w:rsidRPr="00417EEF" w:rsidRDefault="00590519" w:rsidP="003F111E">
      <w:pPr>
        <w:rPr>
          <w:rFonts w:ascii="Arial" w:hAnsi="Arial" w:cs="Arial"/>
        </w:rPr>
      </w:pPr>
      <w:hyperlink w:anchor="Section11" w:history="1">
        <w:r w:rsidR="00586A79" w:rsidRPr="009E0460">
          <w:rPr>
            <w:rStyle w:val="Hyperlink"/>
            <w:rFonts w:ascii="Arial" w:hAnsi="Arial" w:cs="Arial"/>
            <w:b/>
            <w:bCs/>
          </w:rPr>
          <w:t>SECTION 11 – SIGNATORIES</w:t>
        </w:r>
      </w:hyperlink>
      <w:r w:rsidR="00586A79" w:rsidRPr="00417EEF">
        <w:rPr>
          <w:rFonts w:ascii="Arial" w:hAnsi="Arial" w:cs="Arial"/>
          <w:b/>
          <w:bCs/>
        </w:rPr>
        <w:t xml:space="preserve"> </w:t>
      </w:r>
    </w:p>
    <w:p w:rsidR="00586A79" w:rsidRDefault="00586A79" w:rsidP="008759E4"/>
    <w:p w:rsidR="00586A79" w:rsidRDefault="00586A79" w:rsidP="008759E4"/>
    <w:p w:rsidR="00586A79" w:rsidRDefault="00586A79" w:rsidP="008759E4"/>
    <w:p w:rsidR="00586A79" w:rsidRDefault="00586A79" w:rsidP="008759E4"/>
    <w:p w:rsidR="00586A79" w:rsidRDefault="00586A79" w:rsidP="008759E4"/>
    <w:p w:rsidR="00586A79" w:rsidRDefault="00586A79" w:rsidP="008759E4"/>
    <w:p w:rsidR="00586A79" w:rsidRDefault="00586A79" w:rsidP="008759E4"/>
    <w:p w:rsidR="00586A79" w:rsidRDefault="00586A79" w:rsidP="008759E4"/>
    <w:p w:rsidR="00586A79" w:rsidRDefault="00586A79" w:rsidP="008759E4"/>
    <w:p w:rsidR="00586A79" w:rsidRDefault="00586A79" w:rsidP="008759E4"/>
    <w:p w:rsidR="00586A79" w:rsidRDefault="00586A79" w:rsidP="008759E4"/>
    <w:p w:rsidR="00586A79" w:rsidRDefault="00586A79" w:rsidP="008759E4"/>
    <w:p w:rsidR="00586A79" w:rsidRDefault="00586A79" w:rsidP="008759E4"/>
    <w:p w:rsidR="00586A79" w:rsidRDefault="00586A79" w:rsidP="008759E4"/>
    <w:p w:rsidR="00586A79" w:rsidRDefault="00586A79" w:rsidP="008759E4"/>
    <w:p w:rsidR="00586A79" w:rsidRDefault="00586A79" w:rsidP="008759E4"/>
    <w:p w:rsidR="00586A79" w:rsidRDefault="00586A79" w:rsidP="000936AF">
      <w:pPr>
        <w:pStyle w:val="Default"/>
        <w:rPr>
          <w:b/>
          <w:bCs/>
          <w:sz w:val="22"/>
          <w:szCs w:val="22"/>
        </w:rPr>
      </w:pPr>
    </w:p>
    <w:p w:rsidR="00586A79" w:rsidRDefault="00586A79" w:rsidP="00EA193D">
      <w:pPr>
        <w:pStyle w:val="Default"/>
        <w:rPr>
          <w:b/>
          <w:bCs/>
          <w:sz w:val="22"/>
          <w:szCs w:val="22"/>
        </w:rPr>
      </w:pPr>
    </w:p>
    <w:p w:rsidR="00586A79" w:rsidRDefault="00586A79" w:rsidP="00EA193D">
      <w:pPr>
        <w:pStyle w:val="Default"/>
        <w:rPr>
          <w:b/>
          <w:bCs/>
          <w:sz w:val="22"/>
          <w:szCs w:val="22"/>
        </w:rPr>
      </w:pPr>
    </w:p>
    <w:p w:rsidR="00586A79" w:rsidRDefault="00586A79" w:rsidP="00EA193D">
      <w:pPr>
        <w:pStyle w:val="Default"/>
        <w:rPr>
          <w:b/>
          <w:bCs/>
          <w:sz w:val="22"/>
          <w:szCs w:val="22"/>
        </w:rPr>
      </w:pPr>
    </w:p>
    <w:p w:rsidR="00586A79" w:rsidRDefault="00586A79" w:rsidP="00EA193D">
      <w:pPr>
        <w:pStyle w:val="Default"/>
        <w:rPr>
          <w:b/>
          <w:bCs/>
          <w:sz w:val="22"/>
          <w:szCs w:val="22"/>
        </w:rPr>
      </w:pPr>
    </w:p>
    <w:p w:rsidR="00586A79" w:rsidRDefault="00586A79" w:rsidP="00EA193D">
      <w:pPr>
        <w:pStyle w:val="Default"/>
        <w:rPr>
          <w:b/>
          <w:bCs/>
          <w:sz w:val="22"/>
          <w:szCs w:val="22"/>
        </w:rPr>
      </w:pPr>
    </w:p>
    <w:p w:rsidR="00586A79" w:rsidRDefault="00586A79" w:rsidP="00EA193D">
      <w:pPr>
        <w:pStyle w:val="Default"/>
        <w:rPr>
          <w:b/>
          <w:bCs/>
          <w:sz w:val="22"/>
          <w:szCs w:val="22"/>
        </w:rPr>
      </w:pPr>
    </w:p>
    <w:p w:rsidR="00586A79" w:rsidRDefault="00586A79" w:rsidP="00EA193D">
      <w:pPr>
        <w:pStyle w:val="Default"/>
        <w:rPr>
          <w:b/>
          <w:bCs/>
          <w:sz w:val="22"/>
          <w:szCs w:val="22"/>
        </w:rPr>
      </w:pPr>
    </w:p>
    <w:p w:rsidR="00586A79" w:rsidRDefault="00586A79" w:rsidP="00EA193D">
      <w:pPr>
        <w:pStyle w:val="Default"/>
        <w:rPr>
          <w:b/>
          <w:bCs/>
          <w:sz w:val="22"/>
          <w:szCs w:val="22"/>
        </w:rPr>
      </w:pPr>
    </w:p>
    <w:p w:rsidR="00586A79" w:rsidRDefault="00586A79" w:rsidP="00EA193D">
      <w:pPr>
        <w:pStyle w:val="Default"/>
        <w:rPr>
          <w:b/>
          <w:bCs/>
          <w:sz w:val="22"/>
          <w:szCs w:val="22"/>
        </w:rPr>
      </w:pPr>
    </w:p>
    <w:p w:rsidR="00586A79" w:rsidRDefault="00586A79" w:rsidP="00EA193D">
      <w:pPr>
        <w:pStyle w:val="Default"/>
        <w:rPr>
          <w:b/>
          <w:bCs/>
          <w:sz w:val="22"/>
          <w:szCs w:val="22"/>
        </w:rPr>
      </w:pPr>
    </w:p>
    <w:p w:rsidR="00586A79" w:rsidRDefault="00586A79" w:rsidP="00EA193D">
      <w:pPr>
        <w:pStyle w:val="Default"/>
        <w:rPr>
          <w:b/>
          <w:bCs/>
          <w:sz w:val="22"/>
          <w:szCs w:val="22"/>
        </w:rPr>
      </w:pPr>
    </w:p>
    <w:p w:rsidR="00586A79" w:rsidRDefault="00586A79" w:rsidP="00EA193D">
      <w:pPr>
        <w:pStyle w:val="Default"/>
        <w:rPr>
          <w:b/>
          <w:bCs/>
          <w:sz w:val="22"/>
          <w:szCs w:val="22"/>
        </w:rPr>
      </w:pPr>
    </w:p>
    <w:p w:rsidR="00586A79" w:rsidRDefault="00586A79" w:rsidP="00EA193D">
      <w:pPr>
        <w:pStyle w:val="Default"/>
        <w:rPr>
          <w:b/>
          <w:bCs/>
          <w:sz w:val="22"/>
          <w:szCs w:val="22"/>
        </w:rPr>
      </w:pPr>
    </w:p>
    <w:p w:rsidR="00586A79" w:rsidRDefault="00586A79" w:rsidP="00EA193D">
      <w:pPr>
        <w:pStyle w:val="Default"/>
        <w:rPr>
          <w:b/>
          <w:bCs/>
          <w:sz w:val="22"/>
          <w:szCs w:val="22"/>
        </w:rPr>
      </w:pPr>
    </w:p>
    <w:p w:rsidR="00586A79" w:rsidRDefault="00586A79" w:rsidP="00EA193D">
      <w:pPr>
        <w:pStyle w:val="Default"/>
        <w:rPr>
          <w:b/>
          <w:bCs/>
          <w:sz w:val="22"/>
          <w:szCs w:val="22"/>
        </w:rPr>
      </w:pPr>
    </w:p>
    <w:p w:rsidR="00586A79" w:rsidRDefault="00586A79" w:rsidP="007247C5">
      <w:pPr>
        <w:pStyle w:val="Default"/>
        <w:rPr>
          <w:b/>
          <w:bCs/>
          <w:sz w:val="22"/>
          <w:szCs w:val="22"/>
        </w:rPr>
      </w:pPr>
      <w:bookmarkStart w:id="0" w:name="Section1"/>
      <w:r w:rsidRPr="007247C5">
        <w:rPr>
          <w:b/>
          <w:bCs/>
          <w:sz w:val="22"/>
          <w:szCs w:val="22"/>
        </w:rPr>
        <w:t>1.</w:t>
      </w:r>
      <w:r>
        <w:rPr>
          <w:b/>
          <w:bCs/>
          <w:sz w:val="22"/>
          <w:szCs w:val="22"/>
        </w:rPr>
        <w:t xml:space="preserve"> </w:t>
      </w:r>
      <w:r w:rsidRPr="00AB5AC9">
        <w:rPr>
          <w:b/>
          <w:bCs/>
          <w:sz w:val="22"/>
          <w:szCs w:val="22"/>
        </w:rPr>
        <w:t xml:space="preserve">SECTION 1 </w:t>
      </w:r>
      <w:r>
        <w:rPr>
          <w:b/>
          <w:bCs/>
          <w:sz w:val="22"/>
          <w:szCs w:val="22"/>
        </w:rPr>
        <w:t>– PARTIES</w:t>
      </w:r>
    </w:p>
    <w:bookmarkEnd w:id="0"/>
    <w:p w:rsidR="00586A79" w:rsidRDefault="00586A79" w:rsidP="00EA193D">
      <w:pPr>
        <w:pStyle w:val="Default"/>
        <w:rPr>
          <w:b/>
          <w:bCs/>
          <w:sz w:val="22"/>
          <w:szCs w:val="22"/>
        </w:rPr>
      </w:pPr>
    </w:p>
    <w:p w:rsidR="00586A79" w:rsidRDefault="00052ACC" w:rsidP="007E1DD9">
      <w:pPr>
        <w:pStyle w:val="Default"/>
        <w:numPr>
          <w:ilvl w:val="1"/>
          <w:numId w:val="38"/>
        </w:numPr>
        <w:rPr>
          <w:sz w:val="22"/>
          <w:szCs w:val="22"/>
        </w:rPr>
      </w:pPr>
      <w:r w:rsidRPr="00F06AC0">
        <w:rPr>
          <w:sz w:val="22"/>
          <w:szCs w:val="22"/>
        </w:rPr>
        <w:t>The Parties to this Protocol are XXXX Police and the XXXX Crown Prosecution Service (CPS).</w:t>
      </w:r>
    </w:p>
    <w:p w:rsidR="007E1DD9" w:rsidRDefault="007E1DD9" w:rsidP="007E1DD9">
      <w:pPr>
        <w:pStyle w:val="Default"/>
        <w:rPr>
          <w:sz w:val="22"/>
          <w:szCs w:val="22"/>
        </w:rPr>
      </w:pPr>
    </w:p>
    <w:p w:rsidR="007E1DD9" w:rsidRDefault="007E1DD9" w:rsidP="007E1DD9">
      <w:pPr>
        <w:pStyle w:val="Default"/>
        <w:rPr>
          <w:b/>
          <w:bCs/>
          <w:sz w:val="22"/>
          <w:szCs w:val="22"/>
        </w:rPr>
      </w:pPr>
      <w:r>
        <w:rPr>
          <w:sz w:val="22"/>
          <w:szCs w:val="22"/>
        </w:rPr>
        <w:t xml:space="preserve">1.2 The successful prosecution of these cases and safeguarding of those </w:t>
      </w:r>
      <w:r w:rsidR="00F6271C">
        <w:rPr>
          <w:sz w:val="22"/>
          <w:szCs w:val="22"/>
        </w:rPr>
        <w:t>victim</w:t>
      </w:r>
      <w:r>
        <w:rPr>
          <w:sz w:val="22"/>
          <w:szCs w:val="22"/>
        </w:rPr>
        <w:t xml:space="preserve">s involved; relies on strong and collaborative partnership working between the police and prosecutors.  The police will be proactive in collating all relevant evidence and the CPS will be clear and informative about what (if any) further evidence is needed. </w:t>
      </w:r>
    </w:p>
    <w:p w:rsidR="00586A79" w:rsidRDefault="00586A79" w:rsidP="00EA193D">
      <w:pPr>
        <w:pStyle w:val="Default"/>
        <w:rPr>
          <w:b/>
          <w:sz w:val="22"/>
          <w:szCs w:val="22"/>
        </w:rPr>
      </w:pPr>
    </w:p>
    <w:p w:rsidR="00586A79" w:rsidRPr="00EA193D" w:rsidRDefault="00586A79" w:rsidP="00EA193D">
      <w:pPr>
        <w:pStyle w:val="Default"/>
        <w:rPr>
          <w:sz w:val="22"/>
          <w:szCs w:val="22"/>
        </w:rPr>
      </w:pPr>
      <w:bookmarkStart w:id="1" w:name="Section2"/>
      <w:r>
        <w:rPr>
          <w:b/>
          <w:sz w:val="22"/>
          <w:szCs w:val="22"/>
        </w:rPr>
        <w:t xml:space="preserve">2. SECTION 2 </w:t>
      </w:r>
      <w:r w:rsidRPr="00EA193D">
        <w:rPr>
          <w:b/>
          <w:bCs/>
          <w:sz w:val="22"/>
          <w:szCs w:val="22"/>
        </w:rPr>
        <w:t xml:space="preserve">– INTRODUCTION AND SCOPE OF THE PROTOCOL </w:t>
      </w:r>
    </w:p>
    <w:bookmarkEnd w:id="1"/>
    <w:p w:rsidR="00586A79" w:rsidRDefault="00586A79" w:rsidP="000936AF">
      <w:pPr>
        <w:pStyle w:val="Default"/>
        <w:rPr>
          <w:sz w:val="20"/>
          <w:szCs w:val="20"/>
        </w:rPr>
      </w:pPr>
    </w:p>
    <w:p w:rsidR="00616754" w:rsidRPr="00616754" w:rsidRDefault="0038688F" w:rsidP="008961FC">
      <w:pPr>
        <w:pStyle w:val="Default"/>
        <w:rPr>
          <w:bCs/>
          <w:i/>
          <w:color w:val="000000" w:themeColor="text1"/>
          <w:lang w:val="en-US" w:eastAsia="en-GB"/>
        </w:rPr>
      </w:pPr>
      <w:r w:rsidRPr="00C3283A">
        <w:rPr>
          <w:i/>
          <w:color w:val="000000" w:themeColor="text1"/>
          <w:sz w:val="22"/>
          <w:szCs w:val="22"/>
          <w:lang w:eastAsia="en-GB"/>
        </w:rPr>
        <w:t>Please note that due to the differing terminology used by the police</w:t>
      </w:r>
      <w:r w:rsidR="00447524" w:rsidRPr="00C3283A">
        <w:rPr>
          <w:i/>
          <w:color w:val="000000" w:themeColor="text1"/>
          <w:sz w:val="22"/>
          <w:szCs w:val="22"/>
          <w:lang w:eastAsia="en-GB"/>
        </w:rPr>
        <w:t xml:space="preserve"> to</w:t>
      </w:r>
      <w:r w:rsidRPr="00C3283A">
        <w:rPr>
          <w:i/>
          <w:color w:val="000000" w:themeColor="text1"/>
          <w:sz w:val="22"/>
          <w:szCs w:val="22"/>
          <w:lang w:eastAsia="en-GB"/>
        </w:rPr>
        <w:t xml:space="preserve"> the CPS and </w:t>
      </w:r>
      <w:r w:rsidR="00447524" w:rsidRPr="00C3283A">
        <w:rPr>
          <w:i/>
          <w:color w:val="000000" w:themeColor="text1"/>
          <w:sz w:val="22"/>
          <w:szCs w:val="22"/>
          <w:lang w:eastAsia="en-GB"/>
        </w:rPr>
        <w:t xml:space="preserve">the </w:t>
      </w:r>
      <w:r w:rsidRPr="00C3283A">
        <w:rPr>
          <w:i/>
          <w:color w:val="000000" w:themeColor="text1"/>
          <w:sz w:val="22"/>
          <w:szCs w:val="22"/>
          <w:lang w:eastAsia="en-GB"/>
        </w:rPr>
        <w:t xml:space="preserve">Home Office i.e. </w:t>
      </w:r>
      <w:r w:rsidR="00CC56E6">
        <w:rPr>
          <w:i/>
          <w:color w:val="000000" w:themeColor="text1"/>
          <w:sz w:val="22"/>
          <w:szCs w:val="22"/>
          <w:lang w:eastAsia="en-GB"/>
        </w:rPr>
        <w:t xml:space="preserve">so-called </w:t>
      </w:r>
      <w:r w:rsidR="00247BDD">
        <w:rPr>
          <w:i/>
          <w:color w:val="000000" w:themeColor="text1"/>
          <w:sz w:val="22"/>
          <w:szCs w:val="22"/>
          <w:lang w:eastAsia="en-GB"/>
        </w:rPr>
        <w:t>‘Honour-</w:t>
      </w:r>
      <w:r w:rsidRPr="00C3283A">
        <w:rPr>
          <w:i/>
          <w:color w:val="000000" w:themeColor="text1"/>
          <w:sz w:val="22"/>
          <w:szCs w:val="22"/>
          <w:lang w:eastAsia="en-GB"/>
        </w:rPr>
        <w:t>Based</w:t>
      </w:r>
      <w:r w:rsidR="00247BDD">
        <w:rPr>
          <w:i/>
          <w:color w:val="000000" w:themeColor="text1"/>
          <w:sz w:val="22"/>
          <w:szCs w:val="22"/>
          <w:lang w:eastAsia="en-GB"/>
        </w:rPr>
        <w:t>’</w:t>
      </w:r>
      <w:r w:rsidRPr="00C3283A">
        <w:rPr>
          <w:i/>
          <w:color w:val="000000" w:themeColor="text1"/>
          <w:sz w:val="22"/>
          <w:szCs w:val="22"/>
          <w:lang w:eastAsia="en-GB"/>
        </w:rPr>
        <w:t xml:space="preserve"> Abuse and </w:t>
      </w:r>
      <w:r w:rsidR="00247BDD">
        <w:rPr>
          <w:i/>
          <w:color w:val="000000" w:themeColor="text1"/>
          <w:sz w:val="22"/>
          <w:szCs w:val="22"/>
          <w:lang w:eastAsia="en-GB"/>
        </w:rPr>
        <w:t>‘Honour-</w:t>
      </w:r>
      <w:r w:rsidRPr="00C3283A">
        <w:rPr>
          <w:i/>
          <w:color w:val="000000" w:themeColor="text1"/>
          <w:sz w:val="22"/>
          <w:szCs w:val="22"/>
          <w:lang w:eastAsia="en-GB"/>
        </w:rPr>
        <w:t>Based</w:t>
      </w:r>
      <w:r w:rsidR="00247BDD">
        <w:rPr>
          <w:i/>
          <w:color w:val="000000" w:themeColor="text1"/>
          <w:sz w:val="22"/>
          <w:szCs w:val="22"/>
          <w:lang w:eastAsia="en-GB"/>
        </w:rPr>
        <w:t>’</w:t>
      </w:r>
      <w:r w:rsidRPr="00C3283A">
        <w:rPr>
          <w:i/>
          <w:color w:val="000000" w:themeColor="text1"/>
          <w:sz w:val="22"/>
          <w:szCs w:val="22"/>
          <w:lang w:eastAsia="en-GB"/>
        </w:rPr>
        <w:t xml:space="preserve"> Violence, the rest of this document will refer to the term as </w:t>
      </w:r>
      <w:r w:rsidR="00247BDD">
        <w:rPr>
          <w:i/>
          <w:color w:val="000000" w:themeColor="text1"/>
          <w:sz w:val="22"/>
          <w:szCs w:val="22"/>
          <w:lang w:eastAsia="en-GB"/>
        </w:rPr>
        <w:t>so-called</w:t>
      </w:r>
      <w:r w:rsidR="00CC56E6">
        <w:rPr>
          <w:i/>
          <w:color w:val="000000" w:themeColor="text1"/>
          <w:sz w:val="22"/>
          <w:szCs w:val="22"/>
          <w:lang w:eastAsia="en-GB"/>
        </w:rPr>
        <w:t xml:space="preserve"> </w:t>
      </w:r>
      <w:r w:rsidR="00247BDD">
        <w:rPr>
          <w:i/>
          <w:color w:val="000000" w:themeColor="text1"/>
          <w:sz w:val="22"/>
          <w:szCs w:val="22"/>
          <w:lang w:eastAsia="en-GB"/>
        </w:rPr>
        <w:t>‘Honour-Based’</w:t>
      </w:r>
      <w:r w:rsidRPr="00C3283A">
        <w:rPr>
          <w:i/>
          <w:color w:val="000000" w:themeColor="text1"/>
          <w:sz w:val="22"/>
          <w:szCs w:val="22"/>
          <w:lang w:eastAsia="en-GB"/>
        </w:rPr>
        <w:t xml:space="preserve"> Violence/</w:t>
      </w:r>
      <w:r w:rsidR="00247BDD">
        <w:rPr>
          <w:i/>
          <w:color w:val="000000" w:themeColor="text1"/>
          <w:sz w:val="22"/>
          <w:szCs w:val="22"/>
          <w:lang w:eastAsia="en-GB"/>
        </w:rPr>
        <w:t>’Honour-Based’</w:t>
      </w:r>
      <w:r w:rsidRPr="00C3283A">
        <w:rPr>
          <w:i/>
          <w:color w:val="000000" w:themeColor="text1"/>
          <w:sz w:val="22"/>
          <w:szCs w:val="22"/>
          <w:lang w:eastAsia="en-GB"/>
        </w:rPr>
        <w:t xml:space="preserve"> Abuse (</w:t>
      </w:r>
      <w:r w:rsidR="003210B1">
        <w:rPr>
          <w:i/>
          <w:color w:val="000000" w:themeColor="text1"/>
          <w:sz w:val="22"/>
          <w:szCs w:val="22"/>
          <w:lang w:eastAsia="en-GB"/>
        </w:rPr>
        <w:t>HBV/A</w:t>
      </w:r>
      <w:r w:rsidRPr="00C3283A">
        <w:rPr>
          <w:i/>
          <w:color w:val="000000" w:themeColor="text1"/>
          <w:sz w:val="22"/>
          <w:szCs w:val="22"/>
          <w:lang w:eastAsia="en-GB"/>
        </w:rPr>
        <w:t>).</w:t>
      </w:r>
      <w:r w:rsidR="00616754">
        <w:rPr>
          <w:i/>
          <w:color w:val="000000" w:themeColor="text1"/>
          <w:sz w:val="22"/>
          <w:szCs w:val="22"/>
          <w:lang w:eastAsia="en-GB"/>
        </w:rPr>
        <w:t xml:space="preserve">  </w:t>
      </w:r>
      <w:r w:rsidR="00616754" w:rsidRPr="008961FC">
        <w:rPr>
          <w:bCs/>
          <w:i/>
          <w:color w:val="000000" w:themeColor="text1"/>
          <w:sz w:val="22"/>
          <w:szCs w:val="22"/>
          <w:lang w:val="en-US" w:eastAsia="en-GB"/>
        </w:rPr>
        <w:t xml:space="preserve">There is no statutory definition of </w:t>
      </w:r>
      <w:r w:rsidR="00247BDD">
        <w:rPr>
          <w:bCs/>
          <w:i/>
          <w:color w:val="000000" w:themeColor="text1"/>
          <w:sz w:val="22"/>
          <w:szCs w:val="22"/>
          <w:lang w:val="en-US" w:eastAsia="en-GB"/>
        </w:rPr>
        <w:t>so-called</w:t>
      </w:r>
      <w:r w:rsidR="003210B1">
        <w:rPr>
          <w:bCs/>
          <w:i/>
          <w:color w:val="000000" w:themeColor="text1"/>
          <w:sz w:val="22"/>
          <w:szCs w:val="22"/>
          <w:lang w:val="en-US" w:eastAsia="en-GB"/>
        </w:rPr>
        <w:t xml:space="preserve"> HBV/A</w:t>
      </w:r>
      <w:r w:rsidR="00616754" w:rsidRPr="008961FC">
        <w:rPr>
          <w:bCs/>
          <w:i/>
          <w:color w:val="000000" w:themeColor="text1"/>
          <w:sz w:val="22"/>
          <w:szCs w:val="22"/>
          <w:lang w:val="en-US" w:eastAsia="en-GB"/>
        </w:rPr>
        <w:t>.</w:t>
      </w:r>
      <w:r w:rsidR="00616754" w:rsidRPr="00616754">
        <w:rPr>
          <w:bCs/>
          <w:i/>
          <w:color w:val="000000" w:themeColor="text1"/>
          <w:lang w:val="en-US" w:eastAsia="en-GB"/>
        </w:rPr>
        <w:t xml:space="preserve"> </w:t>
      </w:r>
    </w:p>
    <w:p w:rsidR="0038688F" w:rsidRPr="00C3283A" w:rsidRDefault="0038688F" w:rsidP="0038688F">
      <w:pPr>
        <w:pStyle w:val="Default"/>
        <w:rPr>
          <w:i/>
          <w:color w:val="000000" w:themeColor="text1"/>
          <w:sz w:val="22"/>
          <w:szCs w:val="22"/>
          <w:lang w:eastAsia="en-GB"/>
        </w:rPr>
      </w:pPr>
    </w:p>
    <w:p w:rsidR="00586A79" w:rsidRPr="00A6065A" w:rsidRDefault="00586A79" w:rsidP="002A6676">
      <w:pPr>
        <w:pStyle w:val="Default"/>
        <w:rPr>
          <w:sz w:val="22"/>
          <w:szCs w:val="22"/>
        </w:rPr>
      </w:pPr>
      <w:r w:rsidRPr="00A6065A">
        <w:rPr>
          <w:sz w:val="22"/>
          <w:szCs w:val="22"/>
        </w:rPr>
        <w:t xml:space="preserve">2.1 The commitment to end </w:t>
      </w:r>
      <w:r w:rsidR="00247BDD">
        <w:rPr>
          <w:sz w:val="22"/>
          <w:szCs w:val="22"/>
        </w:rPr>
        <w:t>so-called</w:t>
      </w:r>
      <w:r w:rsidR="003210B1">
        <w:rPr>
          <w:sz w:val="22"/>
          <w:szCs w:val="22"/>
        </w:rPr>
        <w:t xml:space="preserve"> HBV/</w:t>
      </w:r>
      <w:proofErr w:type="gramStart"/>
      <w:r w:rsidR="003210B1">
        <w:rPr>
          <w:sz w:val="22"/>
          <w:szCs w:val="22"/>
        </w:rPr>
        <w:t>A</w:t>
      </w:r>
      <w:r w:rsidRPr="00A6065A">
        <w:rPr>
          <w:sz w:val="22"/>
          <w:szCs w:val="22"/>
        </w:rPr>
        <w:t xml:space="preserve"> and</w:t>
      </w:r>
      <w:proofErr w:type="gramEnd"/>
      <w:r w:rsidRPr="00A6065A">
        <w:rPr>
          <w:sz w:val="22"/>
          <w:szCs w:val="22"/>
        </w:rPr>
        <w:t xml:space="preserve"> Forced Marriage (FM) is embedded in the cross-government </w:t>
      </w:r>
      <w:hyperlink r:id="rId12" w:history="1">
        <w:r w:rsidRPr="00A6065A">
          <w:rPr>
            <w:rStyle w:val="Hyperlink"/>
            <w:rFonts w:cs="Arial"/>
            <w:sz w:val="22"/>
            <w:szCs w:val="22"/>
          </w:rPr>
          <w:t>Ending Violence against Women and Girls (VAWG) Strategy: 2016 to 2020</w:t>
        </w:r>
      </w:hyperlink>
      <w:r w:rsidRPr="00A6065A">
        <w:rPr>
          <w:sz w:val="22"/>
          <w:szCs w:val="22"/>
        </w:rPr>
        <w:t xml:space="preserve">.  The strategy is underpinned by effective partnership working at both a local and national level.  </w:t>
      </w:r>
    </w:p>
    <w:p w:rsidR="00586A79" w:rsidRDefault="00586A79" w:rsidP="002A6676">
      <w:pPr>
        <w:pStyle w:val="Default"/>
        <w:rPr>
          <w:sz w:val="22"/>
          <w:szCs w:val="22"/>
        </w:rPr>
      </w:pPr>
      <w:r w:rsidRPr="002A6676">
        <w:rPr>
          <w:sz w:val="22"/>
          <w:szCs w:val="22"/>
        </w:rPr>
        <w:t xml:space="preserve"> </w:t>
      </w:r>
    </w:p>
    <w:p w:rsidR="00586A79" w:rsidRPr="002242C7" w:rsidRDefault="00586A79" w:rsidP="002A6676">
      <w:pPr>
        <w:pStyle w:val="Default"/>
        <w:rPr>
          <w:color w:val="FF0000"/>
          <w:sz w:val="22"/>
          <w:szCs w:val="22"/>
        </w:rPr>
      </w:pPr>
      <w:r>
        <w:rPr>
          <w:sz w:val="22"/>
          <w:szCs w:val="22"/>
        </w:rPr>
        <w:t xml:space="preserve">2.2 The VAWG approach recognises </w:t>
      </w:r>
      <w:r w:rsidRPr="00901586">
        <w:rPr>
          <w:sz w:val="22"/>
          <w:szCs w:val="22"/>
        </w:rPr>
        <w:t xml:space="preserve">that </w:t>
      </w:r>
      <w:r w:rsidR="00F6271C">
        <w:rPr>
          <w:sz w:val="22"/>
          <w:szCs w:val="22"/>
        </w:rPr>
        <w:t>victim</w:t>
      </w:r>
      <w:r w:rsidRPr="00901586">
        <w:rPr>
          <w:sz w:val="22"/>
          <w:szCs w:val="22"/>
        </w:rPr>
        <w:t xml:space="preserve">s of </w:t>
      </w:r>
      <w:r w:rsidR="00247BDD">
        <w:rPr>
          <w:sz w:val="22"/>
          <w:szCs w:val="22"/>
        </w:rPr>
        <w:t>so-called</w:t>
      </w:r>
      <w:r w:rsidR="003210B1">
        <w:rPr>
          <w:sz w:val="22"/>
          <w:szCs w:val="22"/>
        </w:rPr>
        <w:t xml:space="preserve"> HBV/</w:t>
      </w:r>
      <w:proofErr w:type="gramStart"/>
      <w:r w:rsidR="003210B1">
        <w:rPr>
          <w:sz w:val="22"/>
          <w:szCs w:val="22"/>
        </w:rPr>
        <w:t>A</w:t>
      </w:r>
      <w:r>
        <w:rPr>
          <w:sz w:val="22"/>
          <w:szCs w:val="22"/>
        </w:rPr>
        <w:t xml:space="preserve"> and</w:t>
      </w:r>
      <w:proofErr w:type="gramEnd"/>
      <w:r>
        <w:rPr>
          <w:sz w:val="22"/>
          <w:szCs w:val="22"/>
        </w:rPr>
        <w:t xml:space="preserve"> FM</w:t>
      </w:r>
      <w:r w:rsidRPr="00901586">
        <w:rPr>
          <w:sz w:val="22"/>
          <w:szCs w:val="22"/>
        </w:rPr>
        <w:t xml:space="preserve"> crimes are disproportionally female. The approach acknowledges VAWG as a fundamental </w:t>
      </w:r>
      <w:r>
        <w:rPr>
          <w:sz w:val="22"/>
          <w:szCs w:val="22"/>
        </w:rPr>
        <w:t>abuse</w:t>
      </w:r>
      <w:r w:rsidRPr="00901586">
        <w:rPr>
          <w:sz w:val="22"/>
          <w:szCs w:val="22"/>
        </w:rPr>
        <w:t xml:space="preserve"> of human rights and women’s rights</w:t>
      </w:r>
      <w:r w:rsidR="001B5786">
        <w:rPr>
          <w:rStyle w:val="FootnoteReference"/>
          <w:sz w:val="22"/>
          <w:szCs w:val="22"/>
        </w:rPr>
        <w:footnoteReference w:id="1"/>
      </w:r>
      <w:r w:rsidRPr="00901586">
        <w:rPr>
          <w:sz w:val="22"/>
          <w:szCs w:val="22"/>
        </w:rPr>
        <w:t>.</w:t>
      </w:r>
      <w:r w:rsidR="00325DC7">
        <w:rPr>
          <w:sz w:val="22"/>
          <w:szCs w:val="22"/>
        </w:rPr>
        <w:t xml:space="preserve">  </w:t>
      </w:r>
      <w:r w:rsidR="00325DC7" w:rsidRPr="00325DC7">
        <w:rPr>
          <w:sz w:val="22"/>
          <w:szCs w:val="22"/>
        </w:rPr>
        <w:t>The UK government has signed and ratified the United Nations call to all states to prevent and respond to violence against women</w:t>
      </w:r>
      <w:r w:rsidR="00325DC7">
        <w:rPr>
          <w:rStyle w:val="FootnoteReference"/>
          <w:sz w:val="22"/>
          <w:szCs w:val="22"/>
        </w:rPr>
        <w:footnoteReference w:id="2"/>
      </w:r>
      <w:r w:rsidR="00325DC7" w:rsidRPr="00325DC7">
        <w:rPr>
          <w:sz w:val="22"/>
          <w:szCs w:val="22"/>
        </w:rPr>
        <w:t xml:space="preserve">. </w:t>
      </w:r>
      <w:r>
        <w:rPr>
          <w:sz w:val="22"/>
          <w:szCs w:val="22"/>
        </w:rPr>
        <w:t xml:space="preserve">  </w:t>
      </w:r>
      <w:r w:rsidRPr="00901586">
        <w:rPr>
          <w:sz w:val="22"/>
          <w:szCs w:val="22"/>
        </w:rPr>
        <w:t>However</w:t>
      </w:r>
      <w:r>
        <w:rPr>
          <w:sz w:val="22"/>
          <w:szCs w:val="22"/>
        </w:rPr>
        <w:t xml:space="preserve"> the police and CPS</w:t>
      </w:r>
      <w:r w:rsidRPr="00901586">
        <w:rPr>
          <w:sz w:val="22"/>
          <w:szCs w:val="22"/>
        </w:rPr>
        <w:t xml:space="preserve"> a</w:t>
      </w:r>
      <w:r>
        <w:rPr>
          <w:sz w:val="22"/>
          <w:szCs w:val="22"/>
        </w:rPr>
        <w:t>re</w:t>
      </w:r>
      <w:r w:rsidRPr="00901586">
        <w:rPr>
          <w:sz w:val="22"/>
          <w:szCs w:val="22"/>
        </w:rPr>
        <w:t xml:space="preserve"> committed to </w:t>
      </w:r>
      <w:r w:rsidRPr="00901586">
        <w:rPr>
          <w:i/>
          <w:sz w:val="22"/>
          <w:szCs w:val="22"/>
        </w:rPr>
        <w:t>all</w:t>
      </w:r>
      <w:r w:rsidRPr="00901586">
        <w:rPr>
          <w:sz w:val="22"/>
          <w:szCs w:val="22"/>
        </w:rPr>
        <w:t xml:space="preserve"> </w:t>
      </w:r>
      <w:r w:rsidR="00F6271C">
        <w:rPr>
          <w:sz w:val="22"/>
          <w:szCs w:val="22"/>
        </w:rPr>
        <w:t>victim</w:t>
      </w:r>
      <w:r w:rsidRPr="00901586">
        <w:rPr>
          <w:sz w:val="22"/>
          <w:szCs w:val="22"/>
        </w:rPr>
        <w:t>s of crimes grouped together as ‘VAWG’</w:t>
      </w:r>
      <w:r>
        <w:rPr>
          <w:sz w:val="22"/>
          <w:szCs w:val="22"/>
        </w:rPr>
        <w:t xml:space="preserve"> and t</w:t>
      </w:r>
      <w:r w:rsidRPr="00901586">
        <w:rPr>
          <w:sz w:val="22"/>
          <w:szCs w:val="22"/>
        </w:rPr>
        <w:t xml:space="preserve">o that end, </w:t>
      </w:r>
      <w:r>
        <w:rPr>
          <w:sz w:val="22"/>
          <w:szCs w:val="22"/>
        </w:rPr>
        <w:t>are</w:t>
      </w:r>
      <w:r w:rsidRPr="00901586">
        <w:rPr>
          <w:sz w:val="22"/>
          <w:szCs w:val="22"/>
        </w:rPr>
        <w:t xml:space="preserve"> inclusive in </w:t>
      </w:r>
      <w:r>
        <w:rPr>
          <w:sz w:val="22"/>
          <w:szCs w:val="22"/>
        </w:rPr>
        <w:t xml:space="preserve">their approach. All </w:t>
      </w:r>
      <w:r w:rsidRPr="00901586">
        <w:rPr>
          <w:sz w:val="22"/>
          <w:szCs w:val="22"/>
        </w:rPr>
        <w:t xml:space="preserve">VAWG policies are applied fairly and equitably to all </w:t>
      </w:r>
      <w:r w:rsidR="006839B5">
        <w:rPr>
          <w:sz w:val="22"/>
          <w:szCs w:val="22"/>
        </w:rPr>
        <w:t>suspects</w:t>
      </w:r>
      <w:r w:rsidRPr="00901586">
        <w:rPr>
          <w:sz w:val="22"/>
          <w:szCs w:val="22"/>
        </w:rPr>
        <w:t xml:space="preserve"> and </w:t>
      </w:r>
      <w:r w:rsidR="00F6271C">
        <w:rPr>
          <w:sz w:val="22"/>
          <w:szCs w:val="22"/>
        </w:rPr>
        <w:t>victim</w:t>
      </w:r>
      <w:r w:rsidRPr="00901586">
        <w:rPr>
          <w:sz w:val="22"/>
          <w:szCs w:val="22"/>
        </w:rPr>
        <w:t>s of crime – irrespective of their gender.</w:t>
      </w:r>
      <w:r w:rsidR="001244F2">
        <w:rPr>
          <w:sz w:val="22"/>
          <w:szCs w:val="22"/>
        </w:rPr>
        <w:t xml:space="preserve"> Information on male </w:t>
      </w:r>
      <w:r w:rsidR="00F6271C">
        <w:rPr>
          <w:sz w:val="22"/>
          <w:szCs w:val="22"/>
        </w:rPr>
        <w:t>victim</w:t>
      </w:r>
      <w:r w:rsidR="001244F2">
        <w:rPr>
          <w:sz w:val="22"/>
          <w:szCs w:val="22"/>
        </w:rPr>
        <w:t>s of HBV/</w:t>
      </w:r>
      <w:proofErr w:type="gramStart"/>
      <w:r w:rsidR="001244F2">
        <w:rPr>
          <w:sz w:val="22"/>
          <w:szCs w:val="22"/>
        </w:rPr>
        <w:t>A and</w:t>
      </w:r>
      <w:proofErr w:type="gramEnd"/>
      <w:r w:rsidR="001244F2">
        <w:rPr>
          <w:sz w:val="22"/>
          <w:szCs w:val="22"/>
        </w:rPr>
        <w:t xml:space="preserve"> FM can be found within the </w:t>
      </w:r>
      <w:hyperlink r:id="rId13" w:history="1">
        <w:r w:rsidR="001244F2" w:rsidRPr="00DE1FD3">
          <w:rPr>
            <w:rStyle w:val="Hyperlink"/>
            <w:rFonts w:cs="Arial"/>
            <w:sz w:val="22"/>
            <w:szCs w:val="22"/>
          </w:rPr>
          <w:t>CPS HBV and FM Legal Guidance</w:t>
        </w:r>
      </w:hyperlink>
      <w:r w:rsidR="001244F2">
        <w:rPr>
          <w:rStyle w:val="Hyperlink"/>
          <w:rFonts w:cs="Arial"/>
          <w:sz w:val="22"/>
          <w:szCs w:val="22"/>
        </w:rPr>
        <w:t>.</w:t>
      </w:r>
      <w:r w:rsidR="001244F2">
        <w:rPr>
          <w:sz w:val="22"/>
          <w:szCs w:val="22"/>
        </w:rPr>
        <w:t xml:space="preserve"> </w:t>
      </w:r>
    </w:p>
    <w:p w:rsidR="00586A79" w:rsidRPr="00F34359" w:rsidRDefault="00586A79" w:rsidP="000936AF">
      <w:pPr>
        <w:pStyle w:val="Default"/>
        <w:rPr>
          <w:sz w:val="20"/>
          <w:szCs w:val="20"/>
        </w:rPr>
      </w:pPr>
    </w:p>
    <w:p w:rsidR="00F34359" w:rsidRPr="00F34359" w:rsidRDefault="00586A79" w:rsidP="00F34359">
      <w:pPr>
        <w:rPr>
          <w:rFonts w:ascii="Arial" w:hAnsi="Arial" w:cs="Arial"/>
        </w:rPr>
      </w:pPr>
      <w:r w:rsidRPr="00F34359">
        <w:rPr>
          <w:rFonts w:ascii="Arial" w:hAnsi="Arial" w:cs="Arial"/>
        </w:rPr>
        <w:t xml:space="preserve">2.3 Chief Constables who are members of the National Police Chiefs’ Council (NPCC) have overall responsibility for the investigation of alleged criminal activity in their individual force area.  </w:t>
      </w:r>
      <w:r w:rsidR="00F34359" w:rsidRPr="00F34359">
        <w:rPr>
          <w:rFonts w:ascii="Arial" w:hAnsi="Arial" w:cs="Arial"/>
        </w:rPr>
        <w:t xml:space="preserve">The NPCCs </w:t>
      </w:r>
      <w:hyperlink r:id="rId14" w:history="1">
        <w:r w:rsidR="00F34359">
          <w:rPr>
            <w:rStyle w:val="Hyperlink"/>
            <w:rFonts w:ascii="Arial" w:hAnsi="Arial" w:cs="Arial"/>
          </w:rPr>
          <w:t>National HBA Delivery Plan</w:t>
        </w:r>
      </w:hyperlink>
      <w:r w:rsidR="00F34359" w:rsidRPr="00F34359">
        <w:rPr>
          <w:rFonts w:ascii="Arial" w:hAnsi="Arial" w:cs="Arial"/>
          <w:color w:val="1F497D"/>
        </w:rPr>
        <w:t xml:space="preserve"> </w:t>
      </w:r>
      <w:r w:rsidR="00F34359" w:rsidRPr="00F34359">
        <w:rPr>
          <w:rFonts w:ascii="Arial" w:hAnsi="Arial" w:cs="Arial"/>
        </w:rPr>
        <w:t>states that the police service’s vision remains nothing less than the total eradication of HBA (which includes Violence), FM and FGM.</w:t>
      </w:r>
    </w:p>
    <w:p w:rsidR="00586A79" w:rsidRDefault="00586A79" w:rsidP="000936AF">
      <w:pPr>
        <w:pStyle w:val="Default"/>
        <w:rPr>
          <w:sz w:val="22"/>
          <w:szCs w:val="22"/>
        </w:rPr>
      </w:pPr>
    </w:p>
    <w:p w:rsidR="00586A79" w:rsidRDefault="00586A79" w:rsidP="00343CBA">
      <w:pPr>
        <w:pStyle w:val="Default"/>
        <w:rPr>
          <w:sz w:val="22"/>
          <w:szCs w:val="22"/>
          <w:lang w:eastAsia="en-GB"/>
        </w:rPr>
      </w:pPr>
      <w:r>
        <w:rPr>
          <w:sz w:val="22"/>
          <w:szCs w:val="22"/>
        </w:rPr>
        <w:t>2</w:t>
      </w:r>
      <w:r w:rsidRPr="000936AF">
        <w:rPr>
          <w:sz w:val="22"/>
          <w:szCs w:val="22"/>
        </w:rPr>
        <w:t>.</w:t>
      </w:r>
      <w:r>
        <w:rPr>
          <w:sz w:val="22"/>
          <w:szCs w:val="22"/>
        </w:rPr>
        <w:t>4</w:t>
      </w:r>
      <w:r w:rsidRPr="000936AF">
        <w:rPr>
          <w:sz w:val="22"/>
          <w:szCs w:val="22"/>
        </w:rPr>
        <w:t xml:space="preserve"> The CPS is the principal prosecuting authority dealing with criminal prosecutions in England and Wales. </w:t>
      </w:r>
      <w:r>
        <w:rPr>
          <w:sz w:val="22"/>
          <w:szCs w:val="22"/>
        </w:rPr>
        <w:t xml:space="preserve"> </w:t>
      </w:r>
      <w:r w:rsidRPr="00F50F99">
        <w:rPr>
          <w:sz w:val="22"/>
          <w:szCs w:val="22"/>
          <w:lang w:eastAsia="en-GB"/>
        </w:rPr>
        <w:t xml:space="preserve">The CPS is fully committed to prosecuting fairly and effectively all those who harm others in the name of </w:t>
      </w:r>
      <w:r>
        <w:rPr>
          <w:sz w:val="22"/>
          <w:szCs w:val="22"/>
          <w:lang w:eastAsia="en-GB"/>
        </w:rPr>
        <w:t xml:space="preserve">so-called </w:t>
      </w:r>
      <w:r w:rsidRPr="00F50F99">
        <w:rPr>
          <w:sz w:val="22"/>
          <w:szCs w:val="22"/>
          <w:lang w:eastAsia="en-GB"/>
        </w:rPr>
        <w:t xml:space="preserve">‘honour’. </w:t>
      </w:r>
      <w:r>
        <w:rPr>
          <w:sz w:val="22"/>
          <w:szCs w:val="22"/>
          <w:lang w:eastAsia="en-GB"/>
        </w:rPr>
        <w:t xml:space="preserve"> </w:t>
      </w:r>
      <w:r w:rsidRPr="00343CBA">
        <w:rPr>
          <w:sz w:val="22"/>
          <w:szCs w:val="22"/>
          <w:lang w:eastAsia="en-GB"/>
        </w:rPr>
        <w:t xml:space="preserve">All CPS polices are gender neutral and all </w:t>
      </w:r>
      <w:r w:rsidR="00F6271C">
        <w:rPr>
          <w:sz w:val="22"/>
          <w:szCs w:val="22"/>
          <w:lang w:eastAsia="en-GB"/>
        </w:rPr>
        <w:t>victim</w:t>
      </w:r>
      <w:r w:rsidRPr="00343CBA">
        <w:rPr>
          <w:sz w:val="22"/>
          <w:szCs w:val="22"/>
          <w:lang w:eastAsia="en-GB"/>
        </w:rPr>
        <w:t>s receive the same access to protection and legal redress.</w:t>
      </w:r>
    </w:p>
    <w:p w:rsidR="00A224A4" w:rsidRPr="00A224A4" w:rsidRDefault="00A224A4" w:rsidP="00343CBA">
      <w:pPr>
        <w:pStyle w:val="Default"/>
        <w:rPr>
          <w:color w:val="000000" w:themeColor="text1"/>
          <w:sz w:val="22"/>
          <w:szCs w:val="22"/>
          <w:lang w:eastAsia="en-GB"/>
        </w:rPr>
      </w:pPr>
    </w:p>
    <w:p w:rsidR="00282DAF" w:rsidRDefault="00586A79" w:rsidP="00AC3D69">
      <w:pPr>
        <w:pStyle w:val="Default"/>
        <w:rPr>
          <w:sz w:val="22"/>
          <w:szCs w:val="22"/>
        </w:rPr>
      </w:pPr>
      <w:r>
        <w:rPr>
          <w:sz w:val="22"/>
          <w:szCs w:val="22"/>
        </w:rPr>
        <w:t>2.5</w:t>
      </w:r>
      <w:r w:rsidRPr="007479C1">
        <w:rPr>
          <w:sz w:val="22"/>
          <w:szCs w:val="22"/>
        </w:rPr>
        <w:t xml:space="preserve"> This document sets out the principles governing the investigation and prosecution of any </w:t>
      </w:r>
      <w:r w:rsidR="00247BDD">
        <w:rPr>
          <w:sz w:val="22"/>
          <w:szCs w:val="22"/>
        </w:rPr>
        <w:t>so-called</w:t>
      </w:r>
      <w:r w:rsidR="003210B1">
        <w:rPr>
          <w:sz w:val="22"/>
          <w:szCs w:val="22"/>
        </w:rPr>
        <w:t xml:space="preserve"> HBV/</w:t>
      </w:r>
      <w:proofErr w:type="gramStart"/>
      <w:r w:rsidR="003210B1">
        <w:rPr>
          <w:sz w:val="22"/>
          <w:szCs w:val="22"/>
        </w:rPr>
        <w:t>A</w:t>
      </w:r>
      <w:r w:rsidRPr="007479C1">
        <w:rPr>
          <w:sz w:val="22"/>
          <w:szCs w:val="22"/>
        </w:rPr>
        <w:t xml:space="preserve"> and</w:t>
      </w:r>
      <w:proofErr w:type="gramEnd"/>
      <w:r w:rsidRPr="007479C1">
        <w:rPr>
          <w:sz w:val="22"/>
          <w:szCs w:val="22"/>
        </w:rPr>
        <w:t xml:space="preserve"> </w:t>
      </w:r>
      <w:r>
        <w:rPr>
          <w:sz w:val="22"/>
          <w:szCs w:val="22"/>
        </w:rPr>
        <w:t xml:space="preserve">FM </w:t>
      </w:r>
      <w:r w:rsidRPr="007479C1">
        <w:rPr>
          <w:sz w:val="22"/>
          <w:szCs w:val="22"/>
        </w:rPr>
        <w:t>offences.</w:t>
      </w:r>
      <w:r>
        <w:rPr>
          <w:sz w:val="22"/>
          <w:szCs w:val="22"/>
        </w:rPr>
        <w:t xml:space="preserve">    </w:t>
      </w:r>
    </w:p>
    <w:p w:rsidR="00586A79" w:rsidRDefault="00586A79" w:rsidP="00AC3D69">
      <w:pPr>
        <w:pStyle w:val="Default"/>
        <w:rPr>
          <w:sz w:val="22"/>
          <w:szCs w:val="22"/>
        </w:rPr>
      </w:pPr>
      <w:r w:rsidRPr="00A16BC5">
        <w:rPr>
          <w:sz w:val="22"/>
          <w:szCs w:val="22"/>
        </w:rPr>
        <w:t xml:space="preserve">The objectives of this protocol are: </w:t>
      </w:r>
    </w:p>
    <w:p w:rsidR="00586A79" w:rsidRDefault="00586A79" w:rsidP="002242C7">
      <w:pPr>
        <w:pStyle w:val="Default"/>
        <w:rPr>
          <w:sz w:val="22"/>
          <w:szCs w:val="22"/>
        </w:rPr>
      </w:pPr>
      <w:r w:rsidRPr="00A16BC5">
        <w:rPr>
          <w:sz w:val="22"/>
          <w:szCs w:val="22"/>
        </w:rPr>
        <w:t xml:space="preserve">• To achieve improved and consistent performance in the investigation and prosecution of </w:t>
      </w:r>
      <w:r w:rsidR="00247BDD">
        <w:rPr>
          <w:sz w:val="22"/>
          <w:szCs w:val="22"/>
        </w:rPr>
        <w:t>so-called</w:t>
      </w:r>
      <w:r w:rsidR="003210B1">
        <w:rPr>
          <w:sz w:val="22"/>
          <w:szCs w:val="22"/>
        </w:rPr>
        <w:t xml:space="preserve"> HBV/A</w:t>
      </w:r>
      <w:r>
        <w:rPr>
          <w:sz w:val="22"/>
          <w:szCs w:val="22"/>
        </w:rPr>
        <w:t xml:space="preserve"> and FM</w:t>
      </w:r>
      <w:r w:rsidR="0045507C">
        <w:rPr>
          <w:sz w:val="22"/>
          <w:szCs w:val="22"/>
        </w:rPr>
        <w:t xml:space="preserve">; </w:t>
      </w:r>
    </w:p>
    <w:p w:rsidR="00282DAF" w:rsidRDefault="00586A79" w:rsidP="002242C7">
      <w:pPr>
        <w:pStyle w:val="Default"/>
        <w:rPr>
          <w:sz w:val="22"/>
          <w:szCs w:val="22"/>
        </w:rPr>
      </w:pPr>
      <w:r w:rsidRPr="00A16BC5">
        <w:rPr>
          <w:sz w:val="22"/>
          <w:szCs w:val="22"/>
        </w:rPr>
        <w:t xml:space="preserve">• To improve the service to </w:t>
      </w:r>
      <w:r w:rsidR="00F6271C">
        <w:rPr>
          <w:sz w:val="22"/>
          <w:szCs w:val="22"/>
        </w:rPr>
        <w:t>victim</w:t>
      </w:r>
      <w:r w:rsidRPr="00A16BC5">
        <w:rPr>
          <w:sz w:val="22"/>
          <w:szCs w:val="22"/>
        </w:rPr>
        <w:t xml:space="preserve">s of </w:t>
      </w:r>
      <w:r w:rsidR="00247BDD">
        <w:rPr>
          <w:sz w:val="22"/>
          <w:szCs w:val="22"/>
        </w:rPr>
        <w:t>so-called</w:t>
      </w:r>
      <w:r w:rsidR="003210B1">
        <w:rPr>
          <w:sz w:val="22"/>
          <w:szCs w:val="22"/>
        </w:rPr>
        <w:t xml:space="preserve"> HBV/A</w:t>
      </w:r>
      <w:r>
        <w:rPr>
          <w:sz w:val="22"/>
          <w:szCs w:val="22"/>
        </w:rPr>
        <w:t xml:space="preserve"> and FM</w:t>
      </w:r>
      <w:r w:rsidR="00A37DFD">
        <w:rPr>
          <w:sz w:val="22"/>
          <w:szCs w:val="22"/>
        </w:rPr>
        <w:t>;</w:t>
      </w:r>
    </w:p>
    <w:p w:rsidR="00586A79" w:rsidRPr="00A16BC5" w:rsidRDefault="00282DAF" w:rsidP="002242C7">
      <w:pPr>
        <w:pStyle w:val="Default"/>
        <w:rPr>
          <w:sz w:val="22"/>
          <w:szCs w:val="22"/>
        </w:rPr>
      </w:pPr>
      <w:r w:rsidRPr="00282DAF">
        <w:rPr>
          <w:sz w:val="22"/>
          <w:szCs w:val="22"/>
        </w:rPr>
        <w:t xml:space="preserve">• </w:t>
      </w:r>
      <w:r>
        <w:rPr>
          <w:sz w:val="22"/>
          <w:szCs w:val="22"/>
        </w:rPr>
        <w:t>I</w:t>
      </w:r>
      <w:r w:rsidR="00586A79" w:rsidRPr="00A16BC5">
        <w:rPr>
          <w:sz w:val="22"/>
          <w:szCs w:val="22"/>
        </w:rPr>
        <w:t>ncrease</w:t>
      </w:r>
      <w:r w:rsidR="00586A79">
        <w:rPr>
          <w:sz w:val="22"/>
          <w:szCs w:val="22"/>
        </w:rPr>
        <w:t xml:space="preserve"> </w:t>
      </w:r>
      <w:r w:rsidR="00586A79" w:rsidRPr="00A16BC5">
        <w:rPr>
          <w:sz w:val="22"/>
          <w:szCs w:val="22"/>
        </w:rPr>
        <w:t xml:space="preserve">public confidence in </w:t>
      </w:r>
      <w:r w:rsidR="00586A79">
        <w:rPr>
          <w:sz w:val="22"/>
          <w:szCs w:val="22"/>
        </w:rPr>
        <w:t xml:space="preserve">the Police Service and CPS response to </w:t>
      </w:r>
      <w:r w:rsidR="00247BDD">
        <w:rPr>
          <w:sz w:val="22"/>
          <w:szCs w:val="22"/>
        </w:rPr>
        <w:t>so-called</w:t>
      </w:r>
      <w:r w:rsidR="003210B1">
        <w:rPr>
          <w:sz w:val="22"/>
          <w:szCs w:val="22"/>
        </w:rPr>
        <w:t xml:space="preserve"> HBV/A</w:t>
      </w:r>
      <w:r w:rsidR="00586A79">
        <w:rPr>
          <w:sz w:val="22"/>
          <w:szCs w:val="22"/>
        </w:rPr>
        <w:t xml:space="preserve"> and FM</w:t>
      </w:r>
      <w:r w:rsidR="0045507C">
        <w:rPr>
          <w:sz w:val="22"/>
          <w:szCs w:val="22"/>
        </w:rPr>
        <w:t xml:space="preserve"> and;</w:t>
      </w:r>
    </w:p>
    <w:p w:rsidR="00586A79" w:rsidRPr="00A16BC5" w:rsidRDefault="00586A79" w:rsidP="00AC3D69">
      <w:pPr>
        <w:pStyle w:val="Default"/>
        <w:rPr>
          <w:sz w:val="22"/>
          <w:szCs w:val="22"/>
        </w:rPr>
      </w:pPr>
      <w:r w:rsidRPr="00A16BC5">
        <w:rPr>
          <w:sz w:val="22"/>
          <w:szCs w:val="22"/>
        </w:rPr>
        <w:t>• To reflect N</w:t>
      </w:r>
      <w:r>
        <w:rPr>
          <w:sz w:val="22"/>
          <w:szCs w:val="22"/>
        </w:rPr>
        <w:t>PCC</w:t>
      </w:r>
      <w:r w:rsidR="0045507C">
        <w:rPr>
          <w:sz w:val="22"/>
          <w:szCs w:val="22"/>
        </w:rPr>
        <w:t xml:space="preserve"> and CPS policy.</w:t>
      </w:r>
    </w:p>
    <w:p w:rsidR="00586A79" w:rsidRDefault="00586A79" w:rsidP="000936AF">
      <w:pPr>
        <w:pStyle w:val="Default"/>
        <w:rPr>
          <w:sz w:val="22"/>
          <w:szCs w:val="22"/>
        </w:rPr>
      </w:pPr>
    </w:p>
    <w:p w:rsidR="00586A79" w:rsidRDefault="00586A79" w:rsidP="000936AF">
      <w:pPr>
        <w:pStyle w:val="Default"/>
        <w:rPr>
          <w:b/>
          <w:sz w:val="22"/>
          <w:szCs w:val="22"/>
        </w:rPr>
      </w:pPr>
      <w:bookmarkStart w:id="2" w:name="Section3"/>
      <w:r>
        <w:rPr>
          <w:b/>
          <w:sz w:val="22"/>
          <w:szCs w:val="22"/>
        </w:rPr>
        <w:t>3. SECTION 3 – BACKGROUND</w:t>
      </w:r>
    </w:p>
    <w:bookmarkEnd w:id="2"/>
    <w:p w:rsidR="00586A79" w:rsidRPr="009803A4" w:rsidRDefault="00586A79" w:rsidP="000936AF">
      <w:pPr>
        <w:pStyle w:val="Default"/>
        <w:rPr>
          <w:b/>
          <w:sz w:val="22"/>
          <w:szCs w:val="22"/>
        </w:rPr>
      </w:pPr>
    </w:p>
    <w:p w:rsidR="00586A79" w:rsidRPr="00DE1FD3" w:rsidRDefault="00586A79" w:rsidP="00FB7899">
      <w:pPr>
        <w:pStyle w:val="CommentText"/>
        <w:rPr>
          <w:rFonts w:ascii="Arial" w:hAnsi="Arial" w:cs="Arial"/>
          <w:sz w:val="22"/>
          <w:szCs w:val="22"/>
        </w:rPr>
      </w:pPr>
      <w:r w:rsidRPr="00DE1FD3">
        <w:rPr>
          <w:rFonts w:ascii="Arial" w:hAnsi="Arial" w:cs="Arial"/>
          <w:sz w:val="22"/>
          <w:szCs w:val="22"/>
        </w:rPr>
        <w:t>3.1 The definitions of HB</w:t>
      </w:r>
      <w:r>
        <w:rPr>
          <w:rFonts w:ascii="Arial" w:hAnsi="Arial" w:cs="Arial"/>
          <w:sz w:val="22"/>
          <w:szCs w:val="22"/>
        </w:rPr>
        <w:t>A</w:t>
      </w:r>
      <w:r>
        <w:rPr>
          <w:rStyle w:val="FootnoteReference"/>
          <w:rFonts w:ascii="Arial" w:hAnsi="Arial" w:cs="Arial"/>
          <w:sz w:val="22"/>
          <w:szCs w:val="22"/>
        </w:rPr>
        <w:footnoteReference w:id="3"/>
      </w:r>
      <w:r w:rsidRPr="00DE1FD3">
        <w:rPr>
          <w:rFonts w:ascii="Arial" w:hAnsi="Arial" w:cs="Arial"/>
          <w:sz w:val="22"/>
          <w:szCs w:val="22"/>
        </w:rPr>
        <w:t xml:space="preserve"> and FM</w:t>
      </w:r>
      <w:r>
        <w:rPr>
          <w:rStyle w:val="FootnoteReference"/>
          <w:rFonts w:ascii="Arial" w:hAnsi="Arial" w:cs="Arial"/>
          <w:sz w:val="22"/>
          <w:szCs w:val="22"/>
        </w:rPr>
        <w:footnoteReference w:id="4"/>
      </w:r>
      <w:r w:rsidRPr="00DE1FD3">
        <w:rPr>
          <w:rFonts w:ascii="Arial" w:hAnsi="Arial" w:cs="Arial"/>
          <w:sz w:val="22"/>
          <w:szCs w:val="22"/>
        </w:rPr>
        <w:t xml:space="preserve"> adopted by the </w:t>
      </w:r>
      <w:r>
        <w:rPr>
          <w:rFonts w:ascii="Arial" w:hAnsi="Arial" w:cs="Arial"/>
          <w:sz w:val="22"/>
          <w:szCs w:val="22"/>
        </w:rPr>
        <w:t>NPCC</w:t>
      </w:r>
      <w:r w:rsidRPr="00DE1FD3">
        <w:rPr>
          <w:rFonts w:ascii="Arial" w:hAnsi="Arial" w:cs="Arial"/>
          <w:sz w:val="22"/>
          <w:szCs w:val="22"/>
        </w:rPr>
        <w:t xml:space="preserve"> can be found within their revised </w:t>
      </w:r>
      <w:hyperlink r:id="rId15" w:history="1">
        <w:r w:rsidR="008F130E">
          <w:rPr>
            <w:rStyle w:val="Hyperlink"/>
            <w:rFonts w:ascii="Arial" w:hAnsi="Arial" w:cs="Arial"/>
            <w:sz w:val="22"/>
            <w:szCs w:val="22"/>
          </w:rPr>
          <w:t>strategy on HBA, FM and FGM for 2016-18.</w:t>
        </w:r>
      </w:hyperlink>
      <w:r w:rsidR="008F130E">
        <w:rPr>
          <w:rStyle w:val="Hyperlink"/>
          <w:rFonts w:ascii="Arial" w:hAnsi="Arial" w:cs="Arial"/>
          <w:sz w:val="22"/>
          <w:szCs w:val="22"/>
          <w:u w:val="none"/>
        </w:rPr>
        <w:t xml:space="preserve">  </w:t>
      </w:r>
      <w:r w:rsidRPr="00810485">
        <w:rPr>
          <w:rFonts w:ascii="Arial" w:hAnsi="Arial" w:cs="Arial"/>
          <w:sz w:val="22"/>
          <w:szCs w:val="22"/>
        </w:rPr>
        <w:t>The Home Office require</w:t>
      </w:r>
      <w:r>
        <w:rPr>
          <w:rFonts w:ascii="Arial" w:hAnsi="Arial" w:cs="Arial"/>
          <w:sz w:val="22"/>
          <w:szCs w:val="22"/>
        </w:rPr>
        <w:t>s</w:t>
      </w:r>
      <w:r w:rsidRPr="00810485">
        <w:rPr>
          <w:rFonts w:ascii="Arial" w:hAnsi="Arial" w:cs="Arial"/>
          <w:sz w:val="22"/>
          <w:szCs w:val="22"/>
        </w:rPr>
        <w:t xml:space="preserve"> the police </w:t>
      </w:r>
      <w:r>
        <w:rPr>
          <w:rFonts w:ascii="Arial" w:hAnsi="Arial" w:cs="Arial"/>
          <w:sz w:val="22"/>
          <w:szCs w:val="22"/>
        </w:rPr>
        <w:t xml:space="preserve">service </w:t>
      </w:r>
      <w:r w:rsidRPr="00810485">
        <w:rPr>
          <w:rFonts w:ascii="Arial" w:hAnsi="Arial" w:cs="Arial"/>
          <w:sz w:val="22"/>
          <w:szCs w:val="22"/>
        </w:rPr>
        <w:t>to record all incidents of domestic abuse</w:t>
      </w:r>
      <w:r>
        <w:rPr>
          <w:rFonts w:ascii="Arial" w:hAnsi="Arial" w:cs="Arial"/>
          <w:sz w:val="22"/>
          <w:szCs w:val="22"/>
        </w:rPr>
        <w:t>, which</w:t>
      </w:r>
      <w:r w:rsidRPr="00810485">
        <w:rPr>
          <w:rFonts w:ascii="Arial" w:hAnsi="Arial" w:cs="Arial"/>
          <w:sz w:val="22"/>
          <w:szCs w:val="22"/>
        </w:rPr>
        <w:t xml:space="preserve"> includ</w:t>
      </w:r>
      <w:r>
        <w:rPr>
          <w:rFonts w:ascii="Arial" w:hAnsi="Arial" w:cs="Arial"/>
          <w:sz w:val="22"/>
          <w:szCs w:val="22"/>
        </w:rPr>
        <w:t>es</w:t>
      </w:r>
      <w:r w:rsidRPr="00810485">
        <w:rPr>
          <w:rFonts w:ascii="Arial" w:hAnsi="Arial" w:cs="Arial"/>
          <w:sz w:val="22"/>
          <w:szCs w:val="22"/>
        </w:rPr>
        <w:t xml:space="preserve"> </w:t>
      </w:r>
      <w:r w:rsidR="00247BDD">
        <w:rPr>
          <w:rFonts w:ascii="Arial" w:hAnsi="Arial" w:cs="Arial"/>
          <w:sz w:val="22"/>
          <w:szCs w:val="22"/>
        </w:rPr>
        <w:t>so-called</w:t>
      </w:r>
      <w:r w:rsidR="003210B1">
        <w:rPr>
          <w:rFonts w:ascii="Arial" w:hAnsi="Arial" w:cs="Arial"/>
          <w:sz w:val="22"/>
          <w:szCs w:val="22"/>
        </w:rPr>
        <w:t xml:space="preserve"> HBV/</w:t>
      </w:r>
      <w:proofErr w:type="gramStart"/>
      <w:r w:rsidR="003210B1">
        <w:rPr>
          <w:rFonts w:ascii="Arial" w:hAnsi="Arial" w:cs="Arial"/>
          <w:sz w:val="22"/>
          <w:szCs w:val="22"/>
        </w:rPr>
        <w:t>A</w:t>
      </w:r>
      <w:r w:rsidRPr="00810485">
        <w:rPr>
          <w:rFonts w:ascii="Arial" w:hAnsi="Arial" w:cs="Arial"/>
          <w:sz w:val="22"/>
          <w:szCs w:val="22"/>
        </w:rPr>
        <w:t xml:space="preserve"> and</w:t>
      </w:r>
      <w:proofErr w:type="gramEnd"/>
      <w:r w:rsidRPr="00810485">
        <w:rPr>
          <w:rFonts w:ascii="Arial" w:hAnsi="Arial" w:cs="Arial"/>
          <w:sz w:val="22"/>
          <w:szCs w:val="22"/>
        </w:rPr>
        <w:t xml:space="preserve"> FM.  Individual forces should have their own flagging processes in place for these cases and should ensure they follow local procedure.</w:t>
      </w:r>
    </w:p>
    <w:p w:rsidR="00586A79" w:rsidRPr="00DE1FD3" w:rsidRDefault="00586A79" w:rsidP="00DC1EE7">
      <w:pPr>
        <w:pStyle w:val="CommentText"/>
        <w:rPr>
          <w:rFonts w:ascii="Arial" w:hAnsi="Arial" w:cs="Arial"/>
          <w:sz w:val="22"/>
          <w:szCs w:val="22"/>
        </w:rPr>
      </w:pPr>
    </w:p>
    <w:p w:rsidR="00586A79" w:rsidRPr="00DF3374" w:rsidRDefault="00586A79" w:rsidP="004E30FB">
      <w:pPr>
        <w:pStyle w:val="Default"/>
        <w:rPr>
          <w:rStyle w:val="Hyperlink"/>
          <w:rFonts w:cs="Arial"/>
          <w:bCs/>
          <w:color w:val="000000"/>
          <w:sz w:val="22"/>
          <w:szCs w:val="22"/>
          <w:u w:val="none"/>
        </w:rPr>
      </w:pPr>
      <w:r w:rsidRPr="00DE1FD3">
        <w:rPr>
          <w:sz w:val="22"/>
          <w:szCs w:val="22"/>
        </w:rPr>
        <w:t>3.2 The</w:t>
      </w:r>
      <w:r w:rsidR="008F130E">
        <w:rPr>
          <w:sz w:val="22"/>
          <w:szCs w:val="22"/>
        </w:rPr>
        <w:t xml:space="preserve"> HBV and FM</w:t>
      </w:r>
      <w:r w:rsidRPr="00DE1FD3">
        <w:rPr>
          <w:sz w:val="22"/>
          <w:szCs w:val="22"/>
        </w:rPr>
        <w:t xml:space="preserve"> definitions</w:t>
      </w:r>
      <w:r>
        <w:rPr>
          <w:sz w:val="22"/>
          <w:szCs w:val="22"/>
        </w:rPr>
        <w:t xml:space="preserve"> followed by the CPS</w:t>
      </w:r>
      <w:r w:rsidRPr="00DE1FD3">
        <w:rPr>
          <w:sz w:val="22"/>
          <w:szCs w:val="22"/>
        </w:rPr>
        <w:t xml:space="preserve"> can be found within </w:t>
      </w:r>
      <w:hyperlink r:id="rId16" w:history="1">
        <w:r w:rsidRPr="00DE1FD3">
          <w:rPr>
            <w:rStyle w:val="Hyperlink"/>
            <w:rFonts w:cs="Arial"/>
            <w:sz w:val="22"/>
            <w:szCs w:val="22"/>
          </w:rPr>
          <w:t>CPS HBV and FM Legal Guidance</w:t>
        </w:r>
      </w:hyperlink>
      <w:r w:rsidRPr="00DE1FD3">
        <w:rPr>
          <w:sz w:val="22"/>
          <w:szCs w:val="22"/>
        </w:rPr>
        <w:t xml:space="preserve">. Prosecutors should also familiarise themselves with CPS </w:t>
      </w:r>
      <w:hyperlink r:id="rId17" w:history="1">
        <w:r w:rsidRPr="00DE1FD3">
          <w:rPr>
            <w:rStyle w:val="Hyperlink"/>
            <w:rFonts w:cs="Arial"/>
            <w:sz w:val="22"/>
            <w:szCs w:val="22"/>
          </w:rPr>
          <w:t>HBV and FM: Guidance on Identifying and Flagging cases</w:t>
        </w:r>
      </w:hyperlink>
      <w:r w:rsidRPr="00DE1FD3">
        <w:rPr>
          <w:rStyle w:val="Hyperlink"/>
          <w:rFonts w:cs="Arial"/>
          <w:sz w:val="22"/>
          <w:szCs w:val="22"/>
          <w:u w:val="none"/>
        </w:rPr>
        <w:t xml:space="preserve"> </w:t>
      </w:r>
      <w:r w:rsidRPr="00DE1FD3">
        <w:rPr>
          <w:rStyle w:val="Hyperlink"/>
          <w:rFonts w:cs="Arial"/>
          <w:color w:val="000000"/>
          <w:sz w:val="22"/>
          <w:szCs w:val="22"/>
          <w:u w:val="none"/>
        </w:rPr>
        <w:t>and ensure that they flag all cases of HBV and FM onto the CPS Case Management System (CMS).</w:t>
      </w:r>
      <w:r>
        <w:rPr>
          <w:rStyle w:val="Hyperlink"/>
          <w:rFonts w:cs="Arial"/>
          <w:color w:val="000000"/>
          <w:sz w:val="22"/>
          <w:szCs w:val="22"/>
          <w:u w:val="none"/>
        </w:rPr>
        <w:t xml:space="preserve">  </w:t>
      </w:r>
      <w:r>
        <w:rPr>
          <w:bCs/>
          <w:sz w:val="22"/>
          <w:szCs w:val="22"/>
        </w:rPr>
        <w:t>Prosecutors can also access the</w:t>
      </w:r>
      <w:r w:rsidR="00DF3374">
        <w:rPr>
          <w:bCs/>
          <w:sz w:val="22"/>
          <w:szCs w:val="22"/>
        </w:rPr>
        <w:t xml:space="preserve"> </w:t>
      </w:r>
      <w:r>
        <w:rPr>
          <w:bCs/>
          <w:sz w:val="22"/>
          <w:szCs w:val="22"/>
        </w:rPr>
        <w:t xml:space="preserve">‘Forced Marriage and </w:t>
      </w:r>
      <w:r w:rsidR="00247BDD">
        <w:rPr>
          <w:bCs/>
          <w:sz w:val="22"/>
          <w:szCs w:val="22"/>
        </w:rPr>
        <w:t>‘Honour-Based’</w:t>
      </w:r>
      <w:r>
        <w:rPr>
          <w:bCs/>
          <w:sz w:val="22"/>
          <w:szCs w:val="22"/>
        </w:rPr>
        <w:t xml:space="preserve"> Violence’ e-learning </w:t>
      </w:r>
      <w:r w:rsidR="00DF3374">
        <w:rPr>
          <w:bCs/>
          <w:sz w:val="22"/>
          <w:szCs w:val="22"/>
        </w:rPr>
        <w:t xml:space="preserve">module that can be accessed via </w:t>
      </w:r>
      <w:r>
        <w:rPr>
          <w:bCs/>
          <w:sz w:val="22"/>
          <w:szCs w:val="22"/>
        </w:rPr>
        <w:t>the prosecution college.</w:t>
      </w:r>
      <w:r w:rsidRPr="00DE1FD3">
        <w:rPr>
          <w:rStyle w:val="Hyperlink"/>
          <w:rFonts w:cs="Arial"/>
          <w:color w:val="000000"/>
          <w:sz w:val="22"/>
          <w:szCs w:val="22"/>
          <w:u w:val="none"/>
        </w:rPr>
        <w:t xml:space="preserve">  </w:t>
      </w:r>
    </w:p>
    <w:p w:rsidR="00586A79" w:rsidRDefault="00586A79" w:rsidP="004E30FB">
      <w:pPr>
        <w:pStyle w:val="Default"/>
        <w:rPr>
          <w:rStyle w:val="Hyperlink"/>
          <w:rFonts w:cs="Arial"/>
          <w:color w:val="000000"/>
          <w:sz w:val="22"/>
          <w:szCs w:val="22"/>
          <w:u w:val="none"/>
        </w:rPr>
      </w:pPr>
    </w:p>
    <w:p w:rsidR="00A37DFD" w:rsidRDefault="00586A79" w:rsidP="004E30FB">
      <w:pPr>
        <w:pStyle w:val="Default"/>
        <w:rPr>
          <w:sz w:val="22"/>
          <w:szCs w:val="22"/>
        </w:rPr>
      </w:pPr>
      <w:r>
        <w:rPr>
          <w:rStyle w:val="Hyperlink"/>
          <w:rFonts w:cs="Arial"/>
          <w:color w:val="000000"/>
          <w:sz w:val="22"/>
          <w:szCs w:val="22"/>
          <w:u w:val="none"/>
        </w:rPr>
        <w:t xml:space="preserve">3.3 </w:t>
      </w:r>
      <w:r w:rsidRPr="00DE1FD3">
        <w:rPr>
          <w:sz w:val="22"/>
          <w:szCs w:val="22"/>
        </w:rPr>
        <w:t xml:space="preserve">It is important to remember that a number of offences can be committed in the context of </w:t>
      </w:r>
      <w:r w:rsidR="00247BDD">
        <w:rPr>
          <w:sz w:val="22"/>
          <w:szCs w:val="22"/>
        </w:rPr>
        <w:t>so-called</w:t>
      </w:r>
      <w:r w:rsidR="003210B1">
        <w:rPr>
          <w:sz w:val="22"/>
          <w:szCs w:val="22"/>
        </w:rPr>
        <w:t xml:space="preserve"> HBV/</w:t>
      </w:r>
      <w:proofErr w:type="gramStart"/>
      <w:r w:rsidR="003210B1">
        <w:rPr>
          <w:sz w:val="22"/>
          <w:szCs w:val="22"/>
        </w:rPr>
        <w:t>A</w:t>
      </w:r>
      <w:r w:rsidRPr="00DE1FD3">
        <w:rPr>
          <w:sz w:val="22"/>
          <w:szCs w:val="22"/>
        </w:rPr>
        <w:t xml:space="preserve"> and</w:t>
      </w:r>
      <w:proofErr w:type="gramEnd"/>
      <w:r w:rsidRPr="00DE1FD3">
        <w:rPr>
          <w:sz w:val="22"/>
          <w:szCs w:val="22"/>
        </w:rPr>
        <w:t xml:space="preserve"> FM e.g. common assault, GBH, harassment, kidnap, rape, threats to kill and murder.  </w:t>
      </w:r>
      <w:proofErr w:type="gramStart"/>
      <w:r w:rsidR="00247BDD">
        <w:rPr>
          <w:sz w:val="22"/>
          <w:szCs w:val="22"/>
        </w:rPr>
        <w:t>so-called</w:t>
      </w:r>
      <w:proofErr w:type="gramEnd"/>
      <w:r w:rsidR="003210B1">
        <w:rPr>
          <w:sz w:val="22"/>
          <w:szCs w:val="22"/>
        </w:rPr>
        <w:t xml:space="preserve"> HBV/A</w:t>
      </w:r>
      <w:r w:rsidRPr="00DE1FD3">
        <w:rPr>
          <w:sz w:val="22"/>
          <w:szCs w:val="22"/>
        </w:rPr>
        <w:t xml:space="preserve"> and FM should also be considered in the </w:t>
      </w:r>
      <w:r>
        <w:rPr>
          <w:sz w:val="22"/>
          <w:szCs w:val="22"/>
        </w:rPr>
        <w:t xml:space="preserve">context of the </w:t>
      </w:r>
      <w:r w:rsidRPr="00DE1FD3">
        <w:rPr>
          <w:sz w:val="22"/>
          <w:szCs w:val="22"/>
        </w:rPr>
        <w:t xml:space="preserve">wider definition of </w:t>
      </w:r>
      <w:r w:rsidR="000557D2">
        <w:rPr>
          <w:sz w:val="22"/>
          <w:szCs w:val="22"/>
        </w:rPr>
        <w:t>VAWG</w:t>
      </w:r>
      <w:r w:rsidR="008F130E">
        <w:rPr>
          <w:sz w:val="22"/>
          <w:szCs w:val="22"/>
        </w:rPr>
        <w:t xml:space="preserve"> and domestic abuse</w:t>
      </w:r>
      <w:r w:rsidR="00E70429">
        <w:rPr>
          <w:rStyle w:val="FootnoteReference"/>
          <w:sz w:val="22"/>
          <w:szCs w:val="22"/>
        </w:rPr>
        <w:footnoteReference w:id="5"/>
      </w:r>
      <w:r>
        <w:rPr>
          <w:sz w:val="22"/>
          <w:szCs w:val="22"/>
        </w:rPr>
        <w:t xml:space="preserve">. </w:t>
      </w:r>
      <w:r w:rsidR="00A37DFD">
        <w:rPr>
          <w:sz w:val="22"/>
          <w:szCs w:val="22"/>
        </w:rPr>
        <w:t xml:space="preserve"> </w:t>
      </w:r>
      <w:r w:rsidR="00A37DFD" w:rsidRPr="00A37DFD">
        <w:rPr>
          <w:sz w:val="22"/>
          <w:szCs w:val="22"/>
        </w:rPr>
        <w:t xml:space="preserve">Police should familiarise themselves with the College of Policing’s </w:t>
      </w:r>
      <w:hyperlink r:id="rId18" w:history="1">
        <w:r w:rsidR="00A37DFD" w:rsidRPr="00A37DFD">
          <w:rPr>
            <w:rStyle w:val="Hyperlink"/>
            <w:rFonts w:cs="Arial"/>
            <w:sz w:val="22"/>
            <w:szCs w:val="22"/>
          </w:rPr>
          <w:t>Authorised Professional Practice on Domestic Abuse</w:t>
        </w:r>
      </w:hyperlink>
      <w:r w:rsidR="00A37DFD" w:rsidRPr="00A37DFD">
        <w:rPr>
          <w:sz w:val="22"/>
          <w:szCs w:val="22"/>
        </w:rPr>
        <w:t xml:space="preserve"> and prosecutors should reference the </w:t>
      </w:r>
      <w:hyperlink r:id="rId19" w:history="1">
        <w:r w:rsidR="00A37DFD" w:rsidRPr="00A37DFD">
          <w:rPr>
            <w:rStyle w:val="Hyperlink"/>
            <w:rFonts w:cs="Arial"/>
            <w:sz w:val="22"/>
            <w:szCs w:val="22"/>
          </w:rPr>
          <w:t>CPS Domestic Abuse Guidelines for Prosecutors</w:t>
        </w:r>
      </w:hyperlink>
      <w:r w:rsidR="00CC56E6">
        <w:rPr>
          <w:rStyle w:val="Hyperlink"/>
          <w:rFonts w:cs="Arial"/>
          <w:sz w:val="22"/>
          <w:szCs w:val="22"/>
        </w:rPr>
        <w:t>.</w:t>
      </w:r>
    </w:p>
    <w:p w:rsidR="00A37DFD" w:rsidRDefault="00A37DFD" w:rsidP="004E30FB">
      <w:pPr>
        <w:pStyle w:val="Default"/>
        <w:rPr>
          <w:sz w:val="22"/>
          <w:szCs w:val="22"/>
        </w:rPr>
      </w:pPr>
    </w:p>
    <w:p w:rsidR="00586A79" w:rsidRDefault="00A37DFD" w:rsidP="004E30FB">
      <w:pPr>
        <w:pStyle w:val="Default"/>
        <w:rPr>
          <w:sz w:val="22"/>
          <w:szCs w:val="22"/>
        </w:rPr>
      </w:pPr>
      <w:r>
        <w:rPr>
          <w:sz w:val="22"/>
          <w:szCs w:val="22"/>
        </w:rPr>
        <w:t xml:space="preserve">3.4 </w:t>
      </w:r>
      <w:r w:rsidR="00586A79">
        <w:rPr>
          <w:sz w:val="22"/>
          <w:szCs w:val="22"/>
        </w:rPr>
        <w:t xml:space="preserve">Whilst there are many similarities between </w:t>
      </w:r>
      <w:r w:rsidR="00247BDD">
        <w:rPr>
          <w:sz w:val="22"/>
          <w:szCs w:val="22"/>
        </w:rPr>
        <w:t>so-called</w:t>
      </w:r>
      <w:r w:rsidR="003210B1">
        <w:rPr>
          <w:sz w:val="22"/>
          <w:szCs w:val="22"/>
        </w:rPr>
        <w:t xml:space="preserve"> HBV/</w:t>
      </w:r>
      <w:proofErr w:type="gramStart"/>
      <w:r w:rsidR="003210B1">
        <w:rPr>
          <w:sz w:val="22"/>
          <w:szCs w:val="22"/>
        </w:rPr>
        <w:t>A</w:t>
      </w:r>
      <w:r w:rsidR="00586A79">
        <w:rPr>
          <w:sz w:val="22"/>
          <w:szCs w:val="22"/>
        </w:rPr>
        <w:t xml:space="preserve"> and</w:t>
      </w:r>
      <w:proofErr w:type="gramEnd"/>
      <w:r w:rsidR="00586A79">
        <w:rPr>
          <w:sz w:val="22"/>
          <w:szCs w:val="22"/>
        </w:rPr>
        <w:t xml:space="preserve"> FM with domestic abuse there are also some stark differences given the collective nature of the offending, which includes the perpetration of crimes by </w:t>
      </w:r>
      <w:r w:rsidR="006839B5">
        <w:rPr>
          <w:sz w:val="22"/>
          <w:szCs w:val="22"/>
        </w:rPr>
        <w:t>suspects</w:t>
      </w:r>
      <w:r w:rsidR="008F130E">
        <w:rPr>
          <w:sz w:val="22"/>
          <w:szCs w:val="22"/>
        </w:rPr>
        <w:t xml:space="preserve"> who fall outside the inter</w:t>
      </w:r>
      <w:r w:rsidR="004E195F">
        <w:rPr>
          <w:sz w:val="22"/>
          <w:szCs w:val="22"/>
        </w:rPr>
        <w:t>-</w:t>
      </w:r>
      <w:r w:rsidR="00586A79">
        <w:rPr>
          <w:sz w:val="22"/>
          <w:szCs w:val="22"/>
        </w:rPr>
        <w:t>familial relationships.</w:t>
      </w:r>
      <w:r w:rsidR="008F130E">
        <w:rPr>
          <w:sz w:val="22"/>
          <w:szCs w:val="22"/>
        </w:rPr>
        <w:t xml:space="preserve">  </w:t>
      </w:r>
    </w:p>
    <w:p w:rsidR="00A37DFD" w:rsidRDefault="00A37DFD" w:rsidP="004E30FB">
      <w:pPr>
        <w:pStyle w:val="Default"/>
        <w:rPr>
          <w:rStyle w:val="Hyperlink"/>
          <w:rFonts w:cs="Arial"/>
          <w:color w:val="000000"/>
          <w:sz w:val="22"/>
          <w:szCs w:val="22"/>
          <w:u w:val="none"/>
        </w:rPr>
      </w:pPr>
    </w:p>
    <w:p w:rsidR="000557D2" w:rsidRPr="000557D2" w:rsidRDefault="000557D2" w:rsidP="004E30FB">
      <w:pPr>
        <w:pStyle w:val="Default"/>
        <w:rPr>
          <w:rStyle w:val="Hyperlink"/>
          <w:rFonts w:cs="Arial"/>
          <w:b/>
          <w:i/>
          <w:color w:val="000000"/>
          <w:sz w:val="22"/>
          <w:szCs w:val="22"/>
          <w:u w:val="none"/>
        </w:rPr>
      </w:pPr>
      <w:r>
        <w:rPr>
          <w:rStyle w:val="Hyperlink"/>
          <w:rFonts w:cs="Arial"/>
          <w:b/>
          <w:i/>
          <w:color w:val="000000"/>
          <w:sz w:val="22"/>
          <w:szCs w:val="22"/>
          <w:u w:val="none"/>
        </w:rPr>
        <w:t>Legislation</w:t>
      </w:r>
    </w:p>
    <w:p w:rsidR="000557D2" w:rsidRPr="00DE1FD3" w:rsidRDefault="000557D2" w:rsidP="004E30FB">
      <w:pPr>
        <w:pStyle w:val="Default"/>
        <w:rPr>
          <w:rStyle w:val="Hyperlink"/>
          <w:rFonts w:cs="Arial"/>
          <w:color w:val="000000"/>
          <w:sz w:val="22"/>
          <w:szCs w:val="22"/>
          <w:u w:val="none"/>
        </w:rPr>
      </w:pPr>
    </w:p>
    <w:p w:rsidR="00586A79" w:rsidRPr="004D4B76" w:rsidRDefault="00586A79" w:rsidP="004D4B76">
      <w:pPr>
        <w:rPr>
          <w:rFonts w:ascii="Arial" w:hAnsi="Arial" w:cs="Arial"/>
          <w:bCs/>
          <w:lang w:val="en-US"/>
        </w:rPr>
      </w:pPr>
      <w:r>
        <w:rPr>
          <w:rStyle w:val="Hyperlink"/>
          <w:rFonts w:ascii="Arial" w:hAnsi="Arial" w:cs="Arial"/>
          <w:color w:val="000000"/>
          <w:u w:val="none"/>
        </w:rPr>
        <w:t>3.</w:t>
      </w:r>
      <w:r w:rsidR="00A37DFD">
        <w:rPr>
          <w:rStyle w:val="Hyperlink"/>
          <w:rFonts w:ascii="Arial" w:hAnsi="Arial" w:cs="Arial"/>
          <w:color w:val="000000"/>
          <w:u w:val="none"/>
        </w:rPr>
        <w:t>5</w:t>
      </w:r>
      <w:r w:rsidRPr="00DE1FD3">
        <w:rPr>
          <w:rStyle w:val="Hyperlink"/>
          <w:rFonts w:ascii="Arial" w:hAnsi="Arial" w:cs="Arial"/>
          <w:color w:val="000000"/>
          <w:u w:val="none"/>
        </w:rPr>
        <w:t xml:space="preserve"> </w:t>
      </w:r>
      <w:r w:rsidRPr="00DE1FD3">
        <w:rPr>
          <w:rFonts w:ascii="Arial" w:hAnsi="Arial" w:cs="Arial"/>
          <w:bCs/>
          <w:lang w:val="en-US"/>
        </w:rPr>
        <w:t xml:space="preserve">The </w:t>
      </w:r>
      <w:hyperlink r:id="rId20" w:anchor="a02" w:history="1">
        <w:r w:rsidRPr="00DE1FD3">
          <w:rPr>
            <w:rStyle w:val="Hyperlink"/>
            <w:rFonts w:ascii="Arial" w:hAnsi="Arial" w:cs="Arial"/>
            <w:bCs/>
            <w:lang w:val="en-US"/>
          </w:rPr>
          <w:t>specific offence</w:t>
        </w:r>
      </w:hyperlink>
      <w:r w:rsidRPr="00DE1FD3">
        <w:rPr>
          <w:rFonts w:ascii="Arial" w:hAnsi="Arial" w:cs="Arial"/>
          <w:bCs/>
          <w:lang w:val="en-US"/>
        </w:rPr>
        <w:t xml:space="preserve"> of FM (s.121 of the Anti-Social Behaviour, Crime and Policing Act 2014) came into force in June 2014.  A breach of a Forced Marriage Protection Order </w:t>
      </w:r>
      <w:r>
        <w:rPr>
          <w:rFonts w:ascii="Arial" w:hAnsi="Arial" w:cs="Arial"/>
          <w:bCs/>
          <w:lang w:val="en-US"/>
        </w:rPr>
        <w:t xml:space="preserve">(FMPO) </w:t>
      </w:r>
      <w:r w:rsidRPr="00DE1FD3">
        <w:rPr>
          <w:rFonts w:ascii="Arial" w:hAnsi="Arial" w:cs="Arial"/>
          <w:bCs/>
          <w:lang w:val="en-US"/>
        </w:rPr>
        <w:t>became a criminal offence under the same Act</w:t>
      </w:r>
      <w:r w:rsidR="0074700D">
        <w:rPr>
          <w:rStyle w:val="FootnoteReference"/>
          <w:rFonts w:ascii="Arial" w:hAnsi="Arial"/>
          <w:bCs/>
          <w:lang w:val="en-US"/>
        </w:rPr>
        <w:footnoteReference w:id="6"/>
      </w:r>
      <w:r w:rsidRPr="00DE1FD3">
        <w:rPr>
          <w:rFonts w:ascii="Arial" w:hAnsi="Arial" w:cs="Arial"/>
          <w:bCs/>
          <w:lang w:val="en-US"/>
        </w:rPr>
        <w:t>.</w:t>
      </w:r>
      <w:r w:rsidR="008F130E">
        <w:rPr>
          <w:rFonts w:ascii="Arial" w:hAnsi="Arial" w:cs="Arial"/>
          <w:bCs/>
          <w:lang w:val="en-US"/>
        </w:rPr>
        <w:t xml:space="preserve">  </w:t>
      </w:r>
    </w:p>
    <w:p w:rsidR="00586A79" w:rsidRDefault="00586A79" w:rsidP="004E30FB">
      <w:pPr>
        <w:pStyle w:val="Default"/>
        <w:rPr>
          <w:rStyle w:val="Hyperlink"/>
          <w:rFonts w:cs="Arial"/>
          <w:color w:val="000000"/>
          <w:sz w:val="22"/>
          <w:szCs w:val="22"/>
          <w:u w:val="none"/>
        </w:rPr>
      </w:pPr>
    </w:p>
    <w:p w:rsidR="00586A79" w:rsidRDefault="00586A79" w:rsidP="004E30FB">
      <w:pPr>
        <w:pStyle w:val="Default"/>
        <w:rPr>
          <w:rStyle w:val="Hyperlink"/>
          <w:rFonts w:cs="Arial"/>
          <w:color w:val="000000"/>
          <w:sz w:val="22"/>
          <w:szCs w:val="22"/>
          <w:u w:val="none"/>
        </w:rPr>
      </w:pPr>
      <w:r>
        <w:rPr>
          <w:rStyle w:val="Hyperlink"/>
          <w:rFonts w:cs="Arial"/>
          <w:color w:val="000000"/>
          <w:sz w:val="22"/>
          <w:szCs w:val="22"/>
          <w:u w:val="none"/>
        </w:rPr>
        <w:t>3.</w:t>
      </w:r>
      <w:r w:rsidR="00A37DFD">
        <w:rPr>
          <w:rStyle w:val="Hyperlink"/>
          <w:rFonts w:cs="Arial"/>
          <w:color w:val="000000"/>
          <w:sz w:val="22"/>
          <w:szCs w:val="22"/>
          <w:u w:val="none"/>
        </w:rPr>
        <w:t>6</w:t>
      </w:r>
      <w:r>
        <w:rPr>
          <w:rStyle w:val="Hyperlink"/>
          <w:rFonts w:cs="Arial"/>
          <w:color w:val="000000"/>
          <w:sz w:val="22"/>
          <w:szCs w:val="22"/>
          <w:u w:val="none"/>
        </w:rPr>
        <w:t xml:space="preserve"> The evidence of previous cases tells us that </w:t>
      </w:r>
      <w:r w:rsidR="00247BDD">
        <w:rPr>
          <w:bCs/>
          <w:sz w:val="22"/>
          <w:szCs w:val="22"/>
        </w:rPr>
        <w:t>so-called</w:t>
      </w:r>
      <w:r w:rsidR="003210B1">
        <w:rPr>
          <w:bCs/>
          <w:sz w:val="22"/>
          <w:szCs w:val="22"/>
        </w:rPr>
        <w:t xml:space="preserve"> HBV/</w:t>
      </w:r>
      <w:proofErr w:type="gramStart"/>
      <w:r w:rsidR="003210B1">
        <w:rPr>
          <w:bCs/>
          <w:sz w:val="22"/>
          <w:szCs w:val="22"/>
        </w:rPr>
        <w:t>A</w:t>
      </w:r>
      <w:r w:rsidRPr="00301E45">
        <w:rPr>
          <w:bCs/>
          <w:sz w:val="22"/>
          <w:szCs w:val="22"/>
        </w:rPr>
        <w:t xml:space="preserve"> and</w:t>
      </w:r>
      <w:proofErr w:type="gramEnd"/>
      <w:r w:rsidRPr="00301E45">
        <w:rPr>
          <w:bCs/>
          <w:sz w:val="22"/>
          <w:szCs w:val="22"/>
        </w:rPr>
        <w:t xml:space="preserve"> FM crimes are usually perpetrated by the </w:t>
      </w:r>
      <w:r w:rsidR="00F6271C">
        <w:rPr>
          <w:bCs/>
          <w:sz w:val="22"/>
          <w:szCs w:val="22"/>
        </w:rPr>
        <w:t>victim</w:t>
      </w:r>
      <w:r w:rsidRPr="00301E45">
        <w:rPr>
          <w:bCs/>
          <w:sz w:val="22"/>
          <w:szCs w:val="22"/>
        </w:rPr>
        <w:t xml:space="preserve">s’ families, extended families and members of their community. Instances of </w:t>
      </w:r>
      <w:r w:rsidR="00247BDD">
        <w:rPr>
          <w:bCs/>
          <w:sz w:val="22"/>
          <w:szCs w:val="22"/>
        </w:rPr>
        <w:t>so-called</w:t>
      </w:r>
      <w:r w:rsidR="003210B1">
        <w:rPr>
          <w:bCs/>
          <w:sz w:val="22"/>
          <w:szCs w:val="22"/>
        </w:rPr>
        <w:t xml:space="preserve"> HBV/A</w:t>
      </w:r>
      <w:r w:rsidRPr="00301E45">
        <w:rPr>
          <w:bCs/>
          <w:sz w:val="22"/>
          <w:szCs w:val="22"/>
        </w:rPr>
        <w:t xml:space="preserve"> and FM can also lead to conspiracy between the families, extended families and</w:t>
      </w:r>
      <w:r w:rsidR="00D20077">
        <w:rPr>
          <w:bCs/>
          <w:sz w:val="22"/>
          <w:szCs w:val="22"/>
        </w:rPr>
        <w:t xml:space="preserve"> communities of</w:t>
      </w:r>
      <w:r w:rsidRPr="00301E45">
        <w:rPr>
          <w:bCs/>
          <w:sz w:val="22"/>
          <w:szCs w:val="22"/>
        </w:rPr>
        <w:t xml:space="preserve"> the </w:t>
      </w:r>
      <w:r w:rsidR="006839B5">
        <w:rPr>
          <w:bCs/>
          <w:sz w:val="22"/>
          <w:szCs w:val="22"/>
        </w:rPr>
        <w:t>suspect</w:t>
      </w:r>
      <w:r w:rsidRPr="00301E45">
        <w:rPr>
          <w:bCs/>
          <w:sz w:val="22"/>
          <w:szCs w:val="22"/>
        </w:rPr>
        <w:t xml:space="preserve"> in order to protect the</w:t>
      </w:r>
      <w:r>
        <w:rPr>
          <w:bCs/>
          <w:sz w:val="22"/>
          <w:szCs w:val="22"/>
        </w:rPr>
        <w:t>m</w:t>
      </w:r>
      <w:r w:rsidRPr="00301E45">
        <w:rPr>
          <w:bCs/>
          <w:sz w:val="22"/>
          <w:szCs w:val="22"/>
        </w:rPr>
        <w:t xml:space="preserve"> as opposed to the </w:t>
      </w:r>
      <w:r w:rsidR="00F6271C">
        <w:rPr>
          <w:bCs/>
          <w:sz w:val="22"/>
          <w:szCs w:val="22"/>
        </w:rPr>
        <w:t>victim</w:t>
      </w:r>
      <w:r>
        <w:rPr>
          <w:bCs/>
          <w:sz w:val="22"/>
          <w:szCs w:val="22"/>
        </w:rPr>
        <w:t xml:space="preserve">.  Police and prosecutors </w:t>
      </w:r>
      <w:r w:rsidRPr="004D4B76">
        <w:rPr>
          <w:bCs/>
          <w:sz w:val="22"/>
          <w:szCs w:val="22"/>
        </w:rPr>
        <w:t xml:space="preserve">should also remember that </w:t>
      </w:r>
      <w:r w:rsidR="00247BDD">
        <w:rPr>
          <w:bCs/>
          <w:sz w:val="22"/>
          <w:szCs w:val="22"/>
        </w:rPr>
        <w:t>so-called</w:t>
      </w:r>
      <w:r w:rsidR="003210B1">
        <w:rPr>
          <w:bCs/>
          <w:sz w:val="22"/>
          <w:szCs w:val="22"/>
        </w:rPr>
        <w:t xml:space="preserve"> HBV/</w:t>
      </w:r>
      <w:proofErr w:type="gramStart"/>
      <w:r w:rsidR="003210B1">
        <w:rPr>
          <w:bCs/>
          <w:sz w:val="22"/>
          <w:szCs w:val="22"/>
        </w:rPr>
        <w:t>A</w:t>
      </w:r>
      <w:r>
        <w:rPr>
          <w:bCs/>
          <w:sz w:val="22"/>
          <w:szCs w:val="22"/>
        </w:rPr>
        <w:t xml:space="preserve"> </w:t>
      </w:r>
      <w:r w:rsidRPr="004D4B76">
        <w:rPr>
          <w:bCs/>
          <w:sz w:val="22"/>
          <w:szCs w:val="22"/>
        </w:rPr>
        <w:t>and</w:t>
      </w:r>
      <w:proofErr w:type="gramEnd"/>
      <w:r w:rsidRPr="004D4B76">
        <w:rPr>
          <w:bCs/>
          <w:sz w:val="22"/>
          <w:szCs w:val="22"/>
        </w:rPr>
        <w:t xml:space="preserve"> FM offences </w:t>
      </w:r>
      <w:r>
        <w:rPr>
          <w:bCs/>
          <w:sz w:val="22"/>
          <w:szCs w:val="22"/>
        </w:rPr>
        <w:t>are</w:t>
      </w:r>
      <w:r w:rsidRPr="004D4B76">
        <w:rPr>
          <w:bCs/>
          <w:sz w:val="22"/>
          <w:szCs w:val="22"/>
        </w:rPr>
        <w:t xml:space="preserve"> also be</w:t>
      </w:r>
      <w:r>
        <w:rPr>
          <w:bCs/>
          <w:sz w:val="22"/>
          <w:szCs w:val="22"/>
        </w:rPr>
        <w:t>ing</w:t>
      </w:r>
      <w:r w:rsidRPr="004D4B76">
        <w:rPr>
          <w:bCs/>
          <w:sz w:val="22"/>
          <w:szCs w:val="22"/>
        </w:rPr>
        <w:t xml:space="preserve"> committed </w:t>
      </w:r>
      <w:r>
        <w:rPr>
          <w:bCs/>
          <w:sz w:val="22"/>
          <w:szCs w:val="22"/>
        </w:rPr>
        <w:t>increasingly in</w:t>
      </w:r>
      <w:r w:rsidRPr="004D4B76">
        <w:rPr>
          <w:bCs/>
          <w:sz w:val="22"/>
          <w:szCs w:val="22"/>
        </w:rPr>
        <w:t xml:space="preserve"> an online environment, e.g. through social media platforms.</w:t>
      </w:r>
    </w:p>
    <w:p w:rsidR="00586A79" w:rsidRDefault="00586A79" w:rsidP="004E30FB">
      <w:pPr>
        <w:pStyle w:val="Default"/>
        <w:rPr>
          <w:rStyle w:val="Hyperlink"/>
          <w:rFonts w:cs="Arial"/>
          <w:color w:val="000000"/>
          <w:sz w:val="22"/>
          <w:szCs w:val="22"/>
          <w:u w:val="none"/>
        </w:rPr>
      </w:pPr>
    </w:p>
    <w:p w:rsidR="00586A79" w:rsidRDefault="00586A79" w:rsidP="004E30FB">
      <w:pPr>
        <w:pStyle w:val="Default"/>
        <w:rPr>
          <w:rStyle w:val="Hyperlink"/>
          <w:rFonts w:cs="Arial"/>
          <w:color w:val="000000"/>
          <w:sz w:val="22"/>
          <w:szCs w:val="22"/>
          <w:u w:val="none"/>
        </w:rPr>
      </w:pPr>
      <w:r>
        <w:rPr>
          <w:rStyle w:val="Hyperlink"/>
          <w:rFonts w:cs="Arial"/>
          <w:color w:val="000000"/>
          <w:sz w:val="22"/>
          <w:szCs w:val="22"/>
          <w:u w:val="none"/>
        </w:rPr>
        <w:t>3.</w:t>
      </w:r>
      <w:r w:rsidR="00A37DFD">
        <w:rPr>
          <w:rStyle w:val="Hyperlink"/>
          <w:rFonts w:cs="Arial"/>
          <w:color w:val="000000"/>
          <w:sz w:val="22"/>
          <w:szCs w:val="22"/>
          <w:u w:val="none"/>
        </w:rPr>
        <w:t>7</w:t>
      </w:r>
      <w:r>
        <w:rPr>
          <w:rStyle w:val="Hyperlink"/>
          <w:rFonts w:cs="Arial"/>
          <w:color w:val="000000"/>
          <w:sz w:val="22"/>
          <w:szCs w:val="22"/>
          <w:u w:val="none"/>
        </w:rPr>
        <w:t xml:space="preserve"> Other useful information:</w:t>
      </w:r>
    </w:p>
    <w:p w:rsidR="00586A79" w:rsidRDefault="00586A79" w:rsidP="004E30FB">
      <w:pPr>
        <w:pStyle w:val="Default"/>
        <w:rPr>
          <w:rStyle w:val="Hyperlink"/>
          <w:rFonts w:cs="Arial"/>
          <w:b/>
          <w:i/>
          <w:color w:val="000000"/>
          <w:sz w:val="22"/>
          <w:szCs w:val="22"/>
          <w:u w:val="none"/>
        </w:rPr>
      </w:pPr>
    </w:p>
    <w:p w:rsidR="00586A79" w:rsidRPr="00FD738B" w:rsidRDefault="00586A79" w:rsidP="004E30FB">
      <w:pPr>
        <w:pStyle w:val="Default"/>
        <w:rPr>
          <w:rStyle w:val="Hyperlink"/>
          <w:rFonts w:cs="Arial"/>
          <w:color w:val="000000"/>
          <w:sz w:val="22"/>
          <w:szCs w:val="22"/>
          <w:u w:val="none"/>
        </w:rPr>
      </w:pPr>
      <w:r>
        <w:rPr>
          <w:rStyle w:val="Hyperlink"/>
          <w:rFonts w:cs="Arial"/>
          <w:b/>
          <w:i/>
          <w:color w:val="000000"/>
          <w:sz w:val="22"/>
          <w:szCs w:val="22"/>
          <w:u w:val="none"/>
        </w:rPr>
        <w:t>Police:</w:t>
      </w:r>
      <w:r w:rsidR="00F64B40">
        <w:rPr>
          <w:rStyle w:val="Hyperlink"/>
          <w:rFonts w:cs="Arial"/>
          <w:b/>
          <w:i/>
          <w:color w:val="000000"/>
          <w:sz w:val="22"/>
          <w:szCs w:val="22"/>
          <w:u w:val="none"/>
        </w:rPr>
        <w:t xml:space="preserve"> </w:t>
      </w:r>
      <w:hyperlink r:id="rId21" w:history="1">
        <w:r w:rsidR="001A3BAA" w:rsidRPr="00F64B40">
          <w:rPr>
            <w:rStyle w:val="Hyperlink"/>
            <w:rFonts w:cs="Arial"/>
            <w:sz w:val="22"/>
            <w:szCs w:val="22"/>
          </w:rPr>
          <w:t>NPCC National Vulnerability Action Plan</w:t>
        </w:r>
      </w:hyperlink>
      <w:r w:rsidR="001A3BAA" w:rsidRPr="00F64B40">
        <w:rPr>
          <w:sz w:val="22"/>
          <w:szCs w:val="22"/>
        </w:rPr>
        <w:t>.</w:t>
      </w:r>
      <w:r w:rsidR="001A3BAA" w:rsidRPr="008179BB">
        <w:t xml:space="preserve"> </w:t>
      </w:r>
      <w:r w:rsidR="001A3BAA">
        <w:t>O</w:t>
      </w:r>
      <w:r>
        <w:rPr>
          <w:rStyle w:val="Hyperlink"/>
          <w:rFonts w:cs="Arial"/>
          <w:color w:val="000000"/>
          <w:sz w:val="22"/>
          <w:szCs w:val="22"/>
          <w:u w:val="none"/>
        </w:rPr>
        <w:t xml:space="preserve">fficers should liaise with their force area </w:t>
      </w:r>
      <w:r w:rsidR="00247BDD">
        <w:rPr>
          <w:rStyle w:val="Hyperlink"/>
          <w:rFonts w:cs="Arial"/>
          <w:color w:val="000000"/>
          <w:sz w:val="22"/>
          <w:szCs w:val="22"/>
          <w:u w:val="none"/>
        </w:rPr>
        <w:t>so-called</w:t>
      </w:r>
      <w:r w:rsidR="003210B1">
        <w:rPr>
          <w:rStyle w:val="Hyperlink"/>
          <w:rFonts w:cs="Arial"/>
          <w:color w:val="000000"/>
          <w:sz w:val="22"/>
          <w:szCs w:val="22"/>
          <w:u w:val="none"/>
        </w:rPr>
        <w:t xml:space="preserve"> HBV/</w:t>
      </w:r>
      <w:proofErr w:type="gramStart"/>
      <w:r w:rsidR="003210B1">
        <w:rPr>
          <w:rStyle w:val="Hyperlink"/>
          <w:rFonts w:cs="Arial"/>
          <w:color w:val="000000"/>
          <w:sz w:val="22"/>
          <w:szCs w:val="22"/>
          <w:u w:val="none"/>
        </w:rPr>
        <w:t>A</w:t>
      </w:r>
      <w:r>
        <w:rPr>
          <w:rStyle w:val="Hyperlink"/>
          <w:rFonts w:cs="Arial"/>
          <w:color w:val="000000"/>
          <w:sz w:val="22"/>
          <w:szCs w:val="22"/>
          <w:u w:val="none"/>
        </w:rPr>
        <w:t xml:space="preserve"> and</w:t>
      </w:r>
      <w:proofErr w:type="gramEnd"/>
      <w:r>
        <w:rPr>
          <w:rStyle w:val="Hyperlink"/>
          <w:rFonts w:cs="Arial"/>
          <w:color w:val="000000"/>
          <w:sz w:val="22"/>
          <w:szCs w:val="22"/>
          <w:u w:val="none"/>
        </w:rPr>
        <w:t xml:space="preserve"> FM lead who can advise on relevant guidance and toolkits that may also assist when handling these cases. </w:t>
      </w:r>
    </w:p>
    <w:p w:rsidR="00586A79" w:rsidRPr="00645554" w:rsidRDefault="00586A79" w:rsidP="004E30FB">
      <w:pPr>
        <w:pStyle w:val="Default"/>
        <w:rPr>
          <w:rStyle w:val="Hyperlink"/>
          <w:rFonts w:cs="Arial"/>
          <w:b/>
          <w:i/>
          <w:color w:val="000000"/>
          <w:sz w:val="22"/>
          <w:szCs w:val="22"/>
          <w:u w:val="none"/>
        </w:rPr>
      </w:pPr>
    </w:p>
    <w:p w:rsidR="00586A79" w:rsidRDefault="00586A79" w:rsidP="00F63E49">
      <w:pPr>
        <w:pStyle w:val="Default"/>
        <w:rPr>
          <w:rStyle w:val="Hyperlink"/>
          <w:rFonts w:cs="Arial"/>
          <w:sz w:val="22"/>
          <w:szCs w:val="22"/>
        </w:rPr>
      </w:pPr>
      <w:r w:rsidRPr="00645554">
        <w:rPr>
          <w:rStyle w:val="Hyperlink"/>
          <w:rFonts w:cs="Arial"/>
          <w:b/>
          <w:i/>
          <w:color w:val="000000"/>
          <w:sz w:val="22"/>
          <w:szCs w:val="22"/>
          <w:u w:val="none"/>
        </w:rPr>
        <w:t>CPS</w:t>
      </w:r>
      <w:r>
        <w:rPr>
          <w:rStyle w:val="Hyperlink"/>
          <w:rFonts w:cs="Arial"/>
          <w:b/>
          <w:color w:val="000000"/>
          <w:sz w:val="22"/>
          <w:szCs w:val="22"/>
          <w:u w:val="none"/>
        </w:rPr>
        <w:t xml:space="preserve">: </w:t>
      </w:r>
      <w:hyperlink r:id="rId22" w:history="1">
        <w:r w:rsidR="00A83447">
          <w:rPr>
            <w:rStyle w:val="Hyperlink"/>
            <w:rFonts w:cs="Arial"/>
            <w:sz w:val="22"/>
            <w:szCs w:val="22"/>
          </w:rPr>
          <w:t>Toolkit for Prosecutors on VAWG Cases Involving Vulnerable Victims</w:t>
        </w:r>
      </w:hyperlink>
      <w:r>
        <w:rPr>
          <w:rStyle w:val="Hyperlink"/>
          <w:rFonts w:cs="Arial"/>
          <w:color w:val="000000"/>
          <w:sz w:val="22"/>
          <w:szCs w:val="22"/>
          <w:u w:val="none"/>
        </w:rPr>
        <w:t xml:space="preserve">, </w:t>
      </w:r>
      <w:hyperlink r:id="rId23" w:history="1">
        <w:r>
          <w:rPr>
            <w:rStyle w:val="Hyperlink"/>
            <w:rFonts w:cs="Arial"/>
            <w:sz w:val="22"/>
            <w:szCs w:val="22"/>
          </w:rPr>
          <w:t>Guidelines on prosecuting cases involving communications sent via social media</w:t>
        </w:r>
      </w:hyperlink>
      <w:r>
        <w:rPr>
          <w:rStyle w:val="Hyperlink"/>
          <w:rFonts w:cs="Arial"/>
          <w:sz w:val="22"/>
          <w:szCs w:val="22"/>
        </w:rPr>
        <w:t>,</w:t>
      </w:r>
      <w:r w:rsidRPr="00676171">
        <w:rPr>
          <w:rStyle w:val="Hyperlink"/>
          <w:rFonts w:cs="Arial"/>
          <w:sz w:val="22"/>
          <w:szCs w:val="22"/>
          <w:u w:val="none"/>
        </w:rPr>
        <w:t xml:space="preserve"> </w:t>
      </w:r>
      <w:hyperlink r:id="rId24" w:history="1">
        <w:r w:rsidR="00FA3F7D">
          <w:rPr>
            <w:rStyle w:val="Hyperlink"/>
            <w:rFonts w:cs="Arial"/>
            <w:sz w:val="22"/>
            <w:szCs w:val="22"/>
          </w:rPr>
          <w:t>Achieving Best Evidence in criminal proceedings</w:t>
        </w:r>
      </w:hyperlink>
    </w:p>
    <w:p w:rsidR="00586A79" w:rsidRDefault="00586A79" w:rsidP="00F63E49">
      <w:pPr>
        <w:pStyle w:val="Default"/>
        <w:rPr>
          <w:rStyle w:val="Hyperlink"/>
          <w:rFonts w:cs="Arial"/>
          <w:sz w:val="22"/>
          <w:szCs w:val="22"/>
        </w:rPr>
      </w:pPr>
    </w:p>
    <w:p w:rsidR="00586A79" w:rsidRPr="005C6CA7" w:rsidRDefault="00454999" w:rsidP="00454999">
      <w:pPr>
        <w:pStyle w:val="Default"/>
        <w:rPr>
          <w:rStyle w:val="Hyperlink"/>
          <w:rFonts w:cs="Arial"/>
          <w:color w:val="000000" w:themeColor="text1"/>
          <w:sz w:val="22"/>
          <w:szCs w:val="22"/>
          <w:u w:val="none"/>
        </w:rPr>
      </w:pPr>
      <w:r w:rsidRPr="005C6CA7">
        <w:rPr>
          <w:rStyle w:val="Hyperlink"/>
          <w:rFonts w:cs="Arial"/>
          <w:color w:val="000000" w:themeColor="text1"/>
          <w:sz w:val="22"/>
          <w:szCs w:val="22"/>
          <w:u w:val="none"/>
        </w:rPr>
        <w:t xml:space="preserve">Police </w:t>
      </w:r>
      <w:r w:rsidR="000D4007" w:rsidRPr="005C6CA7">
        <w:rPr>
          <w:rStyle w:val="Hyperlink"/>
          <w:rFonts w:cs="Arial"/>
          <w:color w:val="000000" w:themeColor="text1"/>
          <w:sz w:val="22"/>
          <w:szCs w:val="22"/>
          <w:u w:val="none"/>
        </w:rPr>
        <w:t>and p</w:t>
      </w:r>
      <w:r w:rsidR="00586A79" w:rsidRPr="005C6CA7">
        <w:rPr>
          <w:rStyle w:val="Hyperlink"/>
          <w:rFonts w:cs="Arial"/>
          <w:color w:val="000000" w:themeColor="text1"/>
          <w:sz w:val="22"/>
          <w:szCs w:val="22"/>
          <w:u w:val="none"/>
        </w:rPr>
        <w:t>rosecutors must also be alert to the</w:t>
      </w:r>
      <w:r w:rsidRPr="005C6CA7">
        <w:rPr>
          <w:rStyle w:val="Hyperlink"/>
          <w:rFonts w:cs="Arial"/>
          <w:color w:val="000000" w:themeColor="text1"/>
          <w:sz w:val="22"/>
          <w:szCs w:val="22"/>
          <w:u w:val="none"/>
        </w:rPr>
        <w:t xml:space="preserve"> fact that in cases of </w:t>
      </w:r>
      <w:r w:rsidR="00247BDD">
        <w:rPr>
          <w:rStyle w:val="Hyperlink"/>
          <w:rFonts w:cs="Arial"/>
          <w:color w:val="000000" w:themeColor="text1"/>
          <w:sz w:val="22"/>
          <w:szCs w:val="22"/>
          <w:u w:val="none"/>
        </w:rPr>
        <w:t>so-called</w:t>
      </w:r>
      <w:r w:rsidR="003210B1">
        <w:rPr>
          <w:rStyle w:val="Hyperlink"/>
          <w:rFonts w:cs="Arial"/>
          <w:color w:val="000000" w:themeColor="text1"/>
          <w:sz w:val="22"/>
          <w:szCs w:val="22"/>
          <w:u w:val="none"/>
        </w:rPr>
        <w:t xml:space="preserve"> HBV/</w:t>
      </w:r>
      <w:proofErr w:type="gramStart"/>
      <w:r w:rsidR="003210B1">
        <w:rPr>
          <w:rStyle w:val="Hyperlink"/>
          <w:rFonts w:cs="Arial"/>
          <w:color w:val="000000" w:themeColor="text1"/>
          <w:sz w:val="22"/>
          <w:szCs w:val="22"/>
          <w:u w:val="none"/>
        </w:rPr>
        <w:t>A</w:t>
      </w:r>
      <w:r w:rsidRPr="005C6CA7">
        <w:rPr>
          <w:rStyle w:val="Hyperlink"/>
          <w:rFonts w:cs="Arial"/>
          <w:color w:val="000000" w:themeColor="text1"/>
          <w:sz w:val="22"/>
          <w:szCs w:val="22"/>
          <w:u w:val="none"/>
        </w:rPr>
        <w:t xml:space="preserve"> and</w:t>
      </w:r>
      <w:proofErr w:type="gramEnd"/>
      <w:r w:rsidRPr="005C6CA7">
        <w:rPr>
          <w:rStyle w:val="Hyperlink"/>
          <w:rFonts w:cs="Arial"/>
          <w:color w:val="000000" w:themeColor="text1"/>
          <w:sz w:val="22"/>
          <w:szCs w:val="22"/>
          <w:u w:val="none"/>
        </w:rPr>
        <w:t xml:space="preserve"> FM,</w:t>
      </w:r>
      <w:r w:rsidR="00586A79" w:rsidRPr="005C6CA7">
        <w:rPr>
          <w:rStyle w:val="Hyperlink"/>
          <w:rFonts w:cs="Arial"/>
          <w:color w:val="000000" w:themeColor="text1"/>
          <w:sz w:val="22"/>
          <w:szCs w:val="22"/>
          <w:u w:val="none"/>
        </w:rPr>
        <w:t xml:space="preserve"> FGM may also be a factor too. See the </w:t>
      </w:r>
      <w:hyperlink r:id="rId25" w:history="1">
        <w:r w:rsidR="00E87F14" w:rsidRPr="005C6CA7">
          <w:rPr>
            <w:rStyle w:val="Hyperlink"/>
            <w:rFonts w:cs="Arial"/>
            <w:sz w:val="22"/>
            <w:szCs w:val="22"/>
          </w:rPr>
          <w:t xml:space="preserve">Police / CPS joint Investigation and Prosecution Protocol into FGM </w:t>
        </w:r>
      </w:hyperlink>
      <w:r w:rsidR="00586A79" w:rsidRPr="005C6CA7">
        <w:rPr>
          <w:rStyle w:val="Hyperlink"/>
          <w:rFonts w:cs="Arial"/>
          <w:color w:val="000000" w:themeColor="text1"/>
          <w:sz w:val="22"/>
          <w:szCs w:val="22"/>
          <w:u w:val="none"/>
        </w:rPr>
        <w:t xml:space="preserve">and the </w:t>
      </w:r>
      <w:hyperlink r:id="rId26" w:history="1">
        <w:r w:rsidR="00C76881">
          <w:rPr>
            <w:rStyle w:val="Hyperlink"/>
            <w:rFonts w:cs="Arial"/>
            <w:sz w:val="22"/>
            <w:szCs w:val="22"/>
          </w:rPr>
          <w:t>College of Policing’s Authorised Professional Practice regarding FGM</w:t>
        </w:r>
      </w:hyperlink>
      <w:r w:rsidR="00586A79" w:rsidRPr="005C6CA7">
        <w:rPr>
          <w:rStyle w:val="Hyperlink"/>
          <w:rFonts w:cs="Arial"/>
          <w:color w:val="000000" w:themeColor="text1"/>
          <w:sz w:val="22"/>
          <w:szCs w:val="22"/>
          <w:u w:val="none"/>
        </w:rPr>
        <w:t>.</w:t>
      </w:r>
    </w:p>
    <w:p w:rsidR="00586A79" w:rsidRPr="00676171" w:rsidRDefault="00586A79" w:rsidP="00F63E49">
      <w:pPr>
        <w:pStyle w:val="Default"/>
        <w:rPr>
          <w:rStyle w:val="Hyperlink"/>
          <w:rFonts w:cs="Arial"/>
          <w:sz w:val="22"/>
          <w:szCs w:val="22"/>
          <w:u w:val="none"/>
        </w:rPr>
      </w:pPr>
    </w:p>
    <w:p w:rsidR="00586A79" w:rsidRDefault="00586A79" w:rsidP="00112178">
      <w:pPr>
        <w:pStyle w:val="Default"/>
        <w:rPr>
          <w:b/>
          <w:bCs/>
          <w:sz w:val="22"/>
          <w:szCs w:val="22"/>
        </w:rPr>
      </w:pPr>
      <w:bookmarkStart w:id="3" w:name="Section4"/>
      <w:r>
        <w:rPr>
          <w:b/>
          <w:bCs/>
          <w:sz w:val="22"/>
          <w:szCs w:val="22"/>
        </w:rPr>
        <w:t>4</w:t>
      </w:r>
      <w:r w:rsidRPr="00112178">
        <w:rPr>
          <w:b/>
          <w:bCs/>
          <w:sz w:val="22"/>
          <w:szCs w:val="22"/>
        </w:rPr>
        <w:t xml:space="preserve">. SECTION </w:t>
      </w:r>
      <w:r>
        <w:rPr>
          <w:b/>
          <w:bCs/>
          <w:sz w:val="22"/>
          <w:szCs w:val="22"/>
        </w:rPr>
        <w:t>4</w:t>
      </w:r>
      <w:r w:rsidRPr="00112178">
        <w:rPr>
          <w:b/>
          <w:bCs/>
          <w:sz w:val="22"/>
          <w:szCs w:val="22"/>
        </w:rPr>
        <w:t xml:space="preserve"> – INVESTIGATION </w:t>
      </w:r>
      <w:r>
        <w:rPr>
          <w:b/>
          <w:bCs/>
          <w:sz w:val="22"/>
          <w:szCs w:val="22"/>
        </w:rPr>
        <w:t>AND RISK ASSESSMENTS</w:t>
      </w:r>
    </w:p>
    <w:bookmarkEnd w:id="3"/>
    <w:p w:rsidR="00586A79" w:rsidRPr="00411AA6" w:rsidRDefault="00586A79" w:rsidP="00112178">
      <w:pPr>
        <w:pStyle w:val="Default"/>
        <w:rPr>
          <w:b/>
          <w:bCs/>
          <w:sz w:val="22"/>
          <w:szCs w:val="22"/>
        </w:rPr>
      </w:pPr>
    </w:p>
    <w:p w:rsidR="00411AA6" w:rsidRDefault="00586A79" w:rsidP="00411AA6">
      <w:pPr>
        <w:pStyle w:val="Default"/>
        <w:rPr>
          <w:bCs/>
          <w:sz w:val="22"/>
          <w:szCs w:val="22"/>
        </w:rPr>
      </w:pPr>
      <w:r w:rsidRPr="00411AA6">
        <w:rPr>
          <w:bCs/>
          <w:sz w:val="22"/>
          <w:szCs w:val="22"/>
        </w:rPr>
        <w:t>4.1</w:t>
      </w:r>
      <w:r w:rsidRPr="00411AA6">
        <w:rPr>
          <w:sz w:val="22"/>
          <w:szCs w:val="22"/>
        </w:rPr>
        <w:t xml:space="preserve"> </w:t>
      </w:r>
      <w:r w:rsidRPr="00411AA6">
        <w:rPr>
          <w:bCs/>
          <w:sz w:val="22"/>
          <w:szCs w:val="22"/>
        </w:rPr>
        <w:t>The</w:t>
      </w:r>
      <w:r w:rsidR="00892F20" w:rsidRPr="00411AA6">
        <w:rPr>
          <w:bCs/>
          <w:sz w:val="22"/>
          <w:szCs w:val="22"/>
        </w:rPr>
        <w:t>re must be early consultation between the police and CPS, the timing of which will be determined by the circumstances of each case</w:t>
      </w:r>
      <w:r w:rsidR="0065409D" w:rsidRPr="00411AA6">
        <w:rPr>
          <w:bCs/>
          <w:sz w:val="22"/>
          <w:szCs w:val="22"/>
        </w:rPr>
        <w:t>.</w:t>
      </w:r>
      <w:r w:rsidRPr="00411AA6">
        <w:rPr>
          <w:bCs/>
          <w:sz w:val="22"/>
          <w:szCs w:val="22"/>
        </w:rPr>
        <w:t xml:space="preserve"> </w:t>
      </w:r>
      <w:r w:rsidR="0065409D" w:rsidRPr="00411AA6">
        <w:rPr>
          <w:bCs/>
          <w:sz w:val="22"/>
          <w:szCs w:val="22"/>
        </w:rPr>
        <w:t xml:space="preserve"> This</w:t>
      </w:r>
      <w:r w:rsidR="00892F20" w:rsidRPr="00411AA6">
        <w:rPr>
          <w:bCs/>
          <w:sz w:val="22"/>
          <w:szCs w:val="22"/>
        </w:rPr>
        <w:t xml:space="preserve"> will </w:t>
      </w:r>
      <w:r w:rsidRPr="00411AA6">
        <w:rPr>
          <w:bCs/>
          <w:sz w:val="22"/>
          <w:szCs w:val="22"/>
        </w:rPr>
        <w:t>focus on building strong cases for prosecution from the outset.</w:t>
      </w:r>
      <w:r w:rsidR="007E1DD9" w:rsidRPr="00411AA6">
        <w:rPr>
          <w:bCs/>
          <w:sz w:val="22"/>
          <w:szCs w:val="22"/>
        </w:rPr>
        <w:t xml:space="preserve"> </w:t>
      </w:r>
    </w:p>
    <w:p w:rsidR="00E32158" w:rsidRDefault="00E32158" w:rsidP="00411AA6">
      <w:pPr>
        <w:pStyle w:val="Default"/>
        <w:rPr>
          <w:bCs/>
          <w:sz w:val="22"/>
          <w:szCs w:val="22"/>
        </w:rPr>
      </w:pPr>
    </w:p>
    <w:p w:rsidR="00E32158" w:rsidRPr="00411AA6" w:rsidRDefault="00E32158" w:rsidP="00E32158">
      <w:pPr>
        <w:pStyle w:val="Default"/>
        <w:rPr>
          <w:bCs/>
          <w:sz w:val="22"/>
          <w:szCs w:val="22"/>
        </w:rPr>
      </w:pPr>
      <w:r>
        <w:rPr>
          <w:sz w:val="22"/>
          <w:szCs w:val="22"/>
          <w:lang w:eastAsia="en-GB"/>
        </w:rPr>
        <w:t xml:space="preserve">4.2 </w:t>
      </w:r>
      <w:r w:rsidRPr="00411AA6">
        <w:rPr>
          <w:sz w:val="22"/>
          <w:szCs w:val="22"/>
          <w:lang w:eastAsia="en-GB"/>
        </w:rPr>
        <w:t>The function of the CPS is not to presume guilt or decide a suspect is guilty, or automatically believe a</w:t>
      </w:r>
      <w:r w:rsidR="008B2BBD">
        <w:rPr>
          <w:sz w:val="22"/>
          <w:szCs w:val="22"/>
          <w:lang w:eastAsia="en-GB"/>
        </w:rPr>
        <w:t xml:space="preserve"> complainant</w:t>
      </w:r>
      <w:r w:rsidRPr="00411AA6">
        <w:rPr>
          <w:sz w:val="22"/>
          <w:szCs w:val="22"/>
          <w:lang w:eastAsia="en-GB"/>
        </w:rPr>
        <w:t>; it is to make fair, independent and objective assessments about the evidence. CPS prosecutors have a continuing duty to review cases that have been referred to us and charged. There are checks and balances throughout the process which are designed to identify and address issues before a trial, or stop a case when that’s appropriate.</w:t>
      </w:r>
    </w:p>
    <w:p w:rsidR="000557D2" w:rsidRDefault="000557D2" w:rsidP="001705DD">
      <w:pPr>
        <w:pStyle w:val="Default"/>
        <w:rPr>
          <w:bCs/>
          <w:sz w:val="22"/>
          <w:szCs w:val="22"/>
        </w:rPr>
      </w:pPr>
    </w:p>
    <w:p w:rsidR="00586A79" w:rsidRDefault="00E32158" w:rsidP="008314BD">
      <w:pPr>
        <w:pStyle w:val="Default"/>
        <w:rPr>
          <w:bCs/>
          <w:sz w:val="22"/>
          <w:szCs w:val="22"/>
        </w:rPr>
      </w:pPr>
      <w:r>
        <w:rPr>
          <w:bCs/>
          <w:sz w:val="22"/>
          <w:szCs w:val="22"/>
        </w:rPr>
        <w:t>4.</w:t>
      </w:r>
      <w:r w:rsidR="00C81F15">
        <w:rPr>
          <w:bCs/>
          <w:sz w:val="22"/>
          <w:szCs w:val="22"/>
        </w:rPr>
        <w:t>3</w:t>
      </w:r>
      <w:r>
        <w:rPr>
          <w:bCs/>
          <w:sz w:val="22"/>
          <w:szCs w:val="22"/>
        </w:rPr>
        <w:t xml:space="preserve"> As well as testing the </w:t>
      </w:r>
      <w:r w:rsidR="008B2BBD">
        <w:rPr>
          <w:bCs/>
          <w:sz w:val="22"/>
          <w:szCs w:val="22"/>
        </w:rPr>
        <w:t>complainant</w:t>
      </w:r>
      <w:r w:rsidR="00F6271C">
        <w:rPr>
          <w:bCs/>
          <w:sz w:val="22"/>
          <w:szCs w:val="22"/>
        </w:rPr>
        <w:t>’</w:t>
      </w:r>
      <w:r w:rsidR="008B2BBD">
        <w:rPr>
          <w:bCs/>
          <w:sz w:val="22"/>
          <w:szCs w:val="22"/>
        </w:rPr>
        <w:t>s</w:t>
      </w:r>
      <w:r>
        <w:rPr>
          <w:bCs/>
          <w:sz w:val="22"/>
          <w:szCs w:val="22"/>
        </w:rPr>
        <w:t xml:space="preserve"> account,</w:t>
      </w:r>
      <w:r w:rsidR="00586A79">
        <w:rPr>
          <w:bCs/>
          <w:sz w:val="22"/>
          <w:szCs w:val="22"/>
        </w:rPr>
        <w:t xml:space="preserve"> </w:t>
      </w:r>
      <w:r>
        <w:rPr>
          <w:bCs/>
          <w:sz w:val="22"/>
          <w:szCs w:val="22"/>
        </w:rPr>
        <w:t>t</w:t>
      </w:r>
      <w:r w:rsidR="00586A79">
        <w:rPr>
          <w:bCs/>
          <w:sz w:val="22"/>
          <w:szCs w:val="22"/>
        </w:rPr>
        <w:t>he police should explore the role and behaviour of the suspect</w:t>
      </w:r>
      <w:r w:rsidR="00586A79">
        <w:rPr>
          <w:sz w:val="22"/>
          <w:szCs w:val="22"/>
        </w:rPr>
        <w:t xml:space="preserve"> in order to ensure a balanced consideration of the accounts provided ensuring that all available evidence is gathered</w:t>
      </w:r>
      <w:r w:rsidR="00586A79">
        <w:rPr>
          <w:bCs/>
          <w:sz w:val="22"/>
          <w:szCs w:val="22"/>
        </w:rPr>
        <w:t>:</w:t>
      </w:r>
    </w:p>
    <w:p w:rsidR="00586A79" w:rsidRPr="00B2474A" w:rsidRDefault="00586A79" w:rsidP="00B2474A">
      <w:pPr>
        <w:pStyle w:val="Default"/>
        <w:numPr>
          <w:ilvl w:val="0"/>
          <w:numId w:val="30"/>
        </w:numPr>
        <w:rPr>
          <w:bCs/>
          <w:sz w:val="22"/>
          <w:szCs w:val="22"/>
        </w:rPr>
      </w:pPr>
      <w:r w:rsidRPr="00B2474A">
        <w:rPr>
          <w:sz w:val="22"/>
          <w:szCs w:val="22"/>
          <w:lang w:eastAsia="en-GB"/>
        </w:rPr>
        <w:t>How plausible</w:t>
      </w:r>
      <w:r>
        <w:rPr>
          <w:sz w:val="22"/>
          <w:szCs w:val="22"/>
          <w:lang w:eastAsia="en-GB"/>
        </w:rPr>
        <w:t xml:space="preserve"> and consistent</w:t>
      </w:r>
      <w:r w:rsidRPr="00B2474A">
        <w:rPr>
          <w:sz w:val="22"/>
          <w:szCs w:val="22"/>
          <w:lang w:eastAsia="en-GB"/>
        </w:rPr>
        <w:t xml:space="preserve"> is the </w:t>
      </w:r>
      <w:r>
        <w:rPr>
          <w:sz w:val="22"/>
          <w:szCs w:val="22"/>
          <w:lang w:eastAsia="en-GB"/>
        </w:rPr>
        <w:t>suspect’s</w:t>
      </w:r>
      <w:r w:rsidRPr="00B2474A">
        <w:rPr>
          <w:sz w:val="22"/>
          <w:szCs w:val="22"/>
          <w:lang w:eastAsia="en-GB"/>
        </w:rPr>
        <w:t xml:space="preserve"> account? What counter allegations, if any, have been made? </w:t>
      </w:r>
    </w:p>
    <w:p w:rsidR="00586A79" w:rsidRPr="00B2474A" w:rsidRDefault="00586A79" w:rsidP="00B2474A">
      <w:pPr>
        <w:pStyle w:val="Default"/>
        <w:numPr>
          <w:ilvl w:val="0"/>
          <w:numId w:val="30"/>
        </w:numPr>
        <w:rPr>
          <w:bCs/>
          <w:sz w:val="22"/>
          <w:szCs w:val="22"/>
        </w:rPr>
      </w:pPr>
      <w:r w:rsidRPr="00B2474A">
        <w:rPr>
          <w:sz w:val="22"/>
          <w:szCs w:val="22"/>
          <w:lang w:eastAsia="en-GB"/>
        </w:rPr>
        <w:t xml:space="preserve">Were there any signs of injury to the </w:t>
      </w:r>
      <w:r>
        <w:rPr>
          <w:sz w:val="22"/>
          <w:szCs w:val="22"/>
          <w:lang w:eastAsia="en-GB"/>
        </w:rPr>
        <w:t>suspect</w:t>
      </w:r>
      <w:r w:rsidRPr="00B2474A">
        <w:rPr>
          <w:sz w:val="22"/>
          <w:szCs w:val="22"/>
          <w:lang w:eastAsia="en-GB"/>
        </w:rPr>
        <w:t xml:space="preserve"> upon arrest (see</w:t>
      </w:r>
      <w:r>
        <w:rPr>
          <w:sz w:val="22"/>
          <w:szCs w:val="22"/>
          <w:lang w:eastAsia="en-GB"/>
        </w:rPr>
        <w:t xml:space="preserve"> </w:t>
      </w:r>
      <w:hyperlink r:id="rId27" w:anchor="a13" w:history="1">
        <w:r>
          <w:rPr>
            <w:rStyle w:val="Hyperlink"/>
            <w:rFonts w:cs="Arial"/>
            <w:sz w:val="22"/>
            <w:szCs w:val="22"/>
            <w:lang w:eastAsia="en-GB"/>
          </w:rPr>
          <w:t>domestic abuse guidelines on dealing with self-defence and/or counter-allegations</w:t>
        </w:r>
      </w:hyperlink>
      <w:r>
        <w:rPr>
          <w:sz w:val="22"/>
          <w:szCs w:val="22"/>
          <w:lang w:eastAsia="en-GB"/>
        </w:rPr>
        <w:t>)?</w:t>
      </w:r>
    </w:p>
    <w:p w:rsidR="00586A79" w:rsidRPr="00B2474A" w:rsidRDefault="00586A79" w:rsidP="00B2474A">
      <w:pPr>
        <w:pStyle w:val="Default"/>
        <w:numPr>
          <w:ilvl w:val="0"/>
          <w:numId w:val="30"/>
        </w:numPr>
        <w:rPr>
          <w:bCs/>
          <w:sz w:val="22"/>
          <w:szCs w:val="22"/>
        </w:rPr>
      </w:pPr>
      <w:r w:rsidRPr="00B2474A">
        <w:rPr>
          <w:sz w:val="22"/>
          <w:szCs w:val="22"/>
          <w:lang w:eastAsia="en-GB"/>
        </w:rPr>
        <w:t>Were there any allegations made of any other non-violent behaviour that fall within the definition of domestic abuse</w:t>
      </w:r>
      <w:r w:rsidR="009E14BE">
        <w:rPr>
          <w:rStyle w:val="FootnoteReference"/>
          <w:sz w:val="22"/>
          <w:szCs w:val="22"/>
          <w:lang w:eastAsia="en-GB"/>
        </w:rPr>
        <w:footnoteReference w:id="7"/>
      </w:r>
      <w:r w:rsidRPr="00B2474A">
        <w:rPr>
          <w:sz w:val="22"/>
          <w:szCs w:val="22"/>
          <w:lang w:eastAsia="en-GB"/>
        </w:rPr>
        <w:t>?</w:t>
      </w:r>
    </w:p>
    <w:p w:rsidR="00586A79" w:rsidRPr="00B2474A" w:rsidRDefault="00586A79" w:rsidP="00B2474A">
      <w:pPr>
        <w:pStyle w:val="Default"/>
        <w:numPr>
          <w:ilvl w:val="0"/>
          <w:numId w:val="30"/>
        </w:numPr>
        <w:rPr>
          <w:bCs/>
          <w:sz w:val="22"/>
          <w:szCs w:val="22"/>
        </w:rPr>
      </w:pPr>
      <w:r w:rsidRPr="00B2474A">
        <w:rPr>
          <w:sz w:val="22"/>
          <w:szCs w:val="22"/>
          <w:lang w:eastAsia="en-GB"/>
        </w:rPr>
        <w:t xml:space="preserve">Are there any contradictions in the </w:t>
      </w:r>
      <w:r>
        <w:rPr>
          <w:sz w:val="22"/>
          <w:szCs w:val="22"/>
          <w:lang w:eastAsia="en-GB"/>
        </w:rPr>
        <w:t>suspect’s</w:t>
      </w:r>
      <w:r w:rsidRPr="00B2474A">
        <w:rPr>
          <w:sz w:val="22"/>
          <w:szCs w:val="22"/>
          <w:lang w:eastAsia="en-GB"/>
        </w:rPr>
        <w:t xml:space="preserve"> account? </w:t>
      </w:r>
    </w:p>
    <w:p w:rsidR="00586A79" w:rsidRPr="00C81F15" w:rsidRDefault="00586A79" w:rsidP="00B2474A">
      <w:pPr>
        <w:pStyle w:val="Default"/>
        <w:numPr>
          <w:ilvl w:val="0"/>
          <w:numId w:val="30"/>
        </w:numPr>
        <w:rPr>
          <w:bCs/>
          <w:sz w:val="22"/>
          <w:szCs w:val="22"/>
        </w:rPr>
      </w:pPr>
      <w:r w:rsidRPr="00B2474A">
        <w:rPr>
          <w:sz w:val="22"/>
          <w:szCs w:val="22"/>
          <w:lang w:eastAsia="en-GB"/>
        </w:rPr>
        <w:t xml:space="preserve">Has the </w:t>
      </w:r>
      <w:r>
        <w:rPr>
          <w:sz w:val="22"/>
          <w:szCs w:val="22"/>
          <w:lang w:eastAsia="en-GB"/>
        </w:rPr>
        <w:t>suspect</w:t>
      </w:r>
      <w:r w:rsidRPr="00B2474A">
        <w:rPr>
          <w:sz w:val="22"/>
          <w:szCs w:val="22"/>
          <w:lang w:eastAsia="en-GB"/>
        </w:rPr>
        <w:t xml:space="preserve"> made no comment during interview from which an adverse inference can be drawn? </w:t>
      </w:r>
    </w:p>
    <w:p w:rsidR="00C81F15" w:rsidRDefault="00C81F15" w:rsidP="00C81F15">
      <w:pPr>
        <w:pStyle w:val="Default"/>
        <w:rPr>
          <w:sz w:val="22"/>
          <w:szCs w:val="22"/>
          <w:lang w:eastAsia="en-GB"/>
        </w:rPr>
      </w:pPr>
    </w:p>
    <w:p w:rsidR="00C81F15" w:rsidRDefault="00C81F15" w:rsidP="00C81F15">
      <w:pPr>
        <w:pStyle w:val="Default"/>
        <w:rPr>
          <w:bCs/>
          <w:sz w:val="22"/>
          <w:szCs w:val="22"/>
        </w:rPr>
      </w:pPr>
      <w:r>
        <w:rPr>
          <w:bCs/>
          <w:sz w:val="22"/>
          <w:szCs w:val="22"/>
        </w:rPr>
        <w:t xml:space="preserve">4.4 </w:t>
      </w:r>
      <w:r w:rsidRPr="001705DD">
        <w:rPr>
          <w:bCs/>
          <w:sz w:val="22"/>
          <w:szCs w:val="22"/>
        </w:rPr>
        <w:t>The</w:t>
      </w:r>
      <w:r>
        <w:rPr>
          <w:bCs/>
          <w:sz w:val="22"/>
          <w:szCs w:val="22"/>
        </w:rPr>
        <w:t xml:space="preserve"> </w:t>
      </w:r>
      <w:hyperlink r:id="rId28" w:history="1">
        <w:r w:rsidRPr="0067467C">
          <w:rPr>
            <w:rStyle w:val="Hyperlink"/>
            <w:rFonts w:cs="Arial"/>
            <w:sz w:val="22"/>
            <w:szCs w:val="22"/>
          </w:rPr>
          <w:t xml:space="preserve">Joint NPCC and CPS Domestic Abuse Evidence Checklist </w:t>
        </w:r>
      </w:hyperlink>
      <w:r w:rsidRPr="001705DD">
        <w:rPr>
          <w:bCs/>
          <w:sz w:val="22"/>
          <w:szCs w:val="22"/>
        </w:rPr>
        <w:t xml:space="preserve">will </w:t>
      </w:r>
      <w:r>
        <w:rPr>
          <w:bCs/>
          <w:sz w:val="22"/>
          <w:szCs w:val="22"/>
        </w:rPr>
        <w:t xml:space="preserve">also </w:t>
      </w:r>
      <w:r w:rsidRPr="001705DD">
        <w:rPr>
          <w:bCs/>
          <w:sz w:val="22"/>
          <w:szCs w:val="22"/>
        </w:rPr>
        <w:t xml:space="preserve">be relevant in </w:t>
      </w:r>
      <w:r w:rsidR="00247BDD">
        <w:rPr>
          <w:bCs/>
          <w:sz w:val="22"/>
          <w:szCs w:val="22"/>
        </w:rPr>
        <w:t>so-called</w:t>
      </w:r>
      <w:r>
        <w:rPr>
          <w:bCs/>
          <w:sz w:val="22"/>
          <w:szCs w:val="22"/>
        </w:rPr>
        <w:t xml:space="preserve"> HBV/</w:t>
      </w:r>
      <w:proofErr w:type="gramStart"/>
      <w:r>
        <w:rPr>
          <w:bCs/>
          <w:sz w:val="22"/>
          <w:szCs w:val="22"/>
        </w:rPr>
        <w:t>A</w:t>
      </w:r>
      <w:r w:rsidRPr="001705DD">
        <w:rPr>
          <w:bCs/>
          <w:sz w:val="22"/>
          <w:szCs w:val="22"/>
        </w:rPr>
        <w:t xml:space="preserve"> and</w:t>
      </w:r>
      <w:proofErr w:type="gramEnd"/>
      <w:r w:rsidRPr="001705DD">
        <w:rPr>
          <w:bCs/>
          <w:sz w:val="22"/>
          <w:szCs w:val="22"/>
        </w:rPr>
        <w:t xml:space="preserve"> FM cases and should be referred to. </w:t>
      </w:r>
    </w:p>
    <w:p w:rsidR="002922BC" w:rsidRDefault="002922BC" w:rsidP="002922BC">
      <w:pPr>
        <w:pStyle w:val="Default"/>
        <w:rPr>
          <w:sz w:val="22"/>
          <w:szCs w:val="22"/>
          <w:lang w:eastAsia="en-GB"/>
        </w:rPr>
      </w:pPr>
    </w:p>
    <w:p w:rsidR="002922BC" w:rsidRPr="002922BC" w:rsidRDefault="002922BC" w:rsidP="002922BC">
      <w:pPr>
        <w:pStyle w:val="Default"/>
        <w:rPr>
          <w:sz w:val="22"/>
          <w:szCs w:val="22"/>
          <w:lang w:eastAsia="en-GB"/>
        </w:rPr>
      </w:pPr>
      <w:r>
        <w:rPr>
          <w:sz w:val="22"/>
          <w:szCs w:val="22"/>
          <w:lang w:eastAsia="en-GB"/>
        </w:rPr>
        <w:t>4.</w:t>
      </w:r>
      <w:r w:rsidR="00C81F15">
        <w:rPr>
          <w:sz w:val="22"/>
          <w:szCs w:val="22"/>
          <w:lang w:eastAsia="en-GB"/>
        </w:rPr>
        <w:t>5</w:t>
      </w:r>
      <w:r>
        <w:rPr>
          <w:sz w:val="22"/>
          <w:szCs w:val="22"/>
          <w:lang w:eastAsia="en-GB"/>
        </w:rPr>
        <w:t xml:space="preserve"> </w:t>
      </w:r>
      <w:r w:rsidRPr="002922BC">
        <w:rPr>
          <w:sz w:val="22"/>
          <w:szCs w:val="22"/>
          <w:lang w:eastAsia="en-GB"/>
        </w:rPr>
        <w:t>The range of offending behaviour</w:t>
      </w:r>
      <w:r w:rsidR="00BB4D72">
        <w:rPr>
          <w:sz w:val="22"/>
          <w:szCs w:val="22"/>
          <w:lang w:eastAsia="en-GB"/>
        </w:rPr>
        <w:t>,</w:t>
      </w:r>
      <w:r w:rsidRPr="002922BC">
        <w:rPr>
          <w:sz w:val="22"/>
          <w:szCs w:val="22"/>
          <w:lang w:eastAsia="en-GB"/>
        </w:rPr>
        <w:t xml:space="preserve"> with particular reference to other crimes</w:t>
      </w:r>
      <w:r w:rsidR="00BB4D72">
        <w:rPr>
          <w:sz w:val="22"/>
          <w:szCs w:val="22"/>
          <w:lang w:eastAsia="en-GB"/>
        </w:rPr>
        <w:t>,</w:t>
      </w:r>
      <w:r w:rsidRPr="002922BC">
        <w:rPr>
          <w:sz w:val="22"/>
          <w:szCs w:val="22"/>
          <w:lang w:eastAsia="en-GB"/>
        </w:rPr>
        <w:t xml:space="preserve"> needs to be considered, such as enforced sexual activity including rape</w:t>
      </w:r>
      <w:r w:rsidRPr="002922BC">
        <w:rPr>
          <w:sz w:val="22"/>
          <w:szCs w:val="22"/>
          <w:vertAlign w:val="superscript"/>
          <w:lang w:eastAsia="en-GB"/>
        </w:rPr>
        <w:footnoteReference w:id="8"/>
      </w:r>
      <w:r w:rsidRPr="002922BC">
        <w:rPr>
          <w:sz w:val="22"/>
          <w:szCs w:val="22"/>
          <w:lang w:eastAsia="en-GB"/>
        </w:rPr>
        <w:t xml:space="preserve">.  Ultimately, prosecutors should be alert to the fact that </w:t>
      </w:r>
      <w:r w:rsidR="00A15619" w:rsidRPr="002922BC">
        <w:rPr>
          <w:sz w:val="22"/>
          <w:szCs w:val="22"/>
          <w:lang w:eastAsia="en-GB"/>
        </w:rPr>
        <w:t>suspect</w:t>
      </w:r>
      <w:r w:rsidRPr="002922BC">
        <w:rPr>
          <w:sz w:val="22"/>
          <w:szCs w:val="22"/>
          <w:lang w:eastAsia="en-GB"/>
        </w:rPr>
        <w:t xml:space="preserve"> will follow a course of conduct which is used to control, coerce, dominate or exploit a </w:t>
      </w:r>
      <w:r w:rsidR="00A83447">
        <w:rPr>
          <w:sz w:val="22"/>
          <w:szCs w:val="22"/>
          <w:lang w:eastAsia="en-GB"/>
        </w:rPr>
        <w:t>complainant</w:t>
      </w:r>
      <w:r w:rsidRPr="002922BC">
        <w:rPr>
          <w:sz w:val="22"/>
          <w:szCs w:val="22"/>
          <w:lang w:eastAsia="en-GB"/>
        </w:rPr>
        <w:t>.  Identification of the triggers for abuse will assist in understanding the context of the offending. These issues should be considered as risk factors, rather than as causal links to the offending behaviour, and will assist prosecutors in their consideration of the public interest.  This will also assist when considering factors to be taken into account for bail applications and/or terms for restraining orders at later stages of the prosecution process.</w:t>
      </w:r>
    </w:p>
    <w:p w:rsidR="00586A79" w:rsidRDefault="00586A79" w:rsidP="000D3853">
      <w:pPr>
        <w:pStyle w:val="Default"/>
        <w:rPr>
          <w:sz w:val="22"/>
          <w:szCs w:val="22"/>
          <w:lang w:eastAsia="en-GB"/>
        </w:rPr>
      </w:pPr>
    </w:p>
    <w:p w:rsidR="00586A79" w:rsidRDefault="00586A79" w:rsidP="001705DD">
      <w:pPr>
        <w:pStyle w:val="Default"/>
        <w:rPr>
          <w:sz w:val="22"/>
          <w:szCs w:val="22"/>
          <w:lang w:eastAsia="en-GB"/>
        </w:rPr>
      </w:pPr>
      <w:r w:rsidRPr="00E865FB">
        <w:rPr>
          <w:sz w:val="22"/>
          <w:szCs w:val="22"/>
          <w:lang w:eastAsia="en-GB"/>
        </w:rPr>
        <w:t>4.</w:t>
      </w:r>
      <w:r w:rsidR="00C81F15">
        <w:rPr>
          <w:sz w:val="22"/>
          <w:szCs w:val="22"/>
          <w:lang w:eastAsia="en-GB"/>
        </w:rPr>
        <w:t>6</w:t>
      </w:r>
      <w:r w:rsidRPr="00E865FB">
        <w:rPr>
          <w:sz w:val="22"/>
          <w:szCs w:val="22"/>
          <w:lang w:eastAsia="en-GB"/>
        </w:rPr>
        <w:t xml:space="preserve"> A clear and coherent account from the </w:t>
      </w:r>
      <w:r w:rsidR="003013D7">
        <w:rPr>
          <w:sz w:val="22"/>
          <w:szCs w:val="22"/>
          <w:lang w:eastAsia="en-GB"/>
        </w:rPr>
        <w:t>complainant</w:t>
      </w:r>
      <w:r w:rsidRPr="00E865FB">
        <w:rPr>
          <w:sz w:val="22"/>
          <w:szCs w:val="22"/>
          <w:lang w:eastAsia="en-GB"/>
        </w:rPr>
        <w:t xml:space="preserve"> is reliant upon their powers of recall/concentration, their cognition of the events and their ability to communicate.  </w:t>
      </w:r>
      <w:r w:rsidRPr="00E865FB">
        <w:rPr>
          <w:sz w:val="22"/>
          <w:szCs w:val="22"/>
        </w:rPr>
        <w:t>A</w:t>
      </w:r>
      <w:r w:rsidRPr="00EC3AF6">
        <w:rPr>
          <w:sz w:val="22"/>
          <w:szCs w:val="22"/>
        </w:rPr>
        <w:t xml:space="preserve"> number of issues can impact on the precision or the detail of the account provided</w:t>
      </w:r>
      <w:r w:rsidR="00AC6614">
        <w:rPr>
          <w:sz w:val="22"/>
          <w:szCs w:val="22"/>
        </w:rPr>
        <w:t xml:space="preserve"> e.g. drug and alcohol use, mental </w:t>
      </w:r>
      <w:r w:rsidR="001E0BB2">
        <w:rPr>
          <w:sz w:val="22"/>
          <w:szCs w:val="22"/>
        </w:rPr>
        <w:t xml:space="preserve">health </w:t>
      </w:r>
      <w:r w:rsidR="00AC6614">
        <w:rPr>
          <w:sz w:val="22"/>
          <w:szCs w:val="22"/>
        </w:rPr>
        <w:t>and physical disabilities</w:t>
      </w:r>
      <w:r w:rsidRPr="00EC3AF6">
        <w:rPr>
          <w:sz w:val="22"/>
          <w:szCs w:val="22"/>
        </w:rPr>
        <w:t xml:space="preserve">. </w:t>
      </w:r>
      <w:r>
        <w:rPr>
          <w:sz w:val="22"/>
          <w:szCs w:val="22"/>
        </w:rPr>
        <w:t xml:space="preserve">Police and prosecutors should refer to the </w:t>
      </w:r>
      <w:hyperlink r:id="rId29" w:history="1">
        <w:r w:rsidR="001842DE">
          <w:rPr>
            <w:rStyle w:val="Hyperlink"/>
            <w:rFonts w:cs="Arial"/>
            <w:sz w:val="22"/>
            <w:szCs w:val="22"/>
            <w:lang w:eastAsia="en-GB"/>
          </w:rPr>
          <w:t>Toolkit for Prosecutors on VAWG Cases Involving Vulnerable Victims</w:t>
        </w:r>
      </w:hyperlink>
      <w:r>
        <w:rPr>
          <w:sz w:val="22"/>
          <w:szCs w:val="22"/>
          <w:lang w:eastAsia="en-GB"/>
        </w:rPr>
        <w:t>.</w:t>
      </w:r>
    </w:p>
    <w:p w:rsidR="00586A79" w:rsidRDefault="00586A79" w:rsidP="001705DD">
      <w:pPr>
        <w:pStyle w:val="Default"/>
        <w:rPr>
          <w:bCs/>
          <w:sz w:val="22"/>
          <w:szCs w:val="22"/>
        </w:rPr>
      </w:pPr>
    </w:p>
    <w:p w:rsidR="00586A79" w:rsidRPr="008D7311" w:rsidRDefault="00C81F15" w:rsidP="001705DD">
      <w:pPr>
        <w:pStyle w:val="Default"/>
        <w:rPr>
          <w:bCs/>
          <w:sz w:val="22"/>
          <w:szCs w:val="22"/>
        </w:rPr>
      </w:pPr>
      <w:r>
        <w:rPr>
          <w:bCs/>
          <w:sz w:val="22"/>
          <w:szCs w:val="22"/>
        </w:rPr>
        <w:t>4.7</w:t>
      </w:r>
      <w:r w:rsidR="00586A79">
        <w:rPr>
          <w:bCs/>
          <w:sz w:val="22"/>
          <w:szCs w:val="22"/>
        </w:rPr>
        <w:t xml:space="preserve"> The safety of </w:t>
      </w:r>
      <w:r w:rsidR="003013D7">
        <w:rPr>
          <w:bCs/>
          <w:sz w:val="22"/>
          <w:szCs w:val="22"/>
        </w:rPr>
        <w:t>complainant</w:t>
      </w:r>
      <w:r w:rsidR="00586A79">
        <w:rPr>
          <w:bCs/>
          <w:sz w:val="22"/>
          <w:szCs w:val="22"/>
        </w:rPr>
        <w:t xml:space="preserve">s is paramount.  A </w:t>
      </w:r>
      <w:r w:rsidR="003013D7">
        <w:rPr>
          <w:bCs/>
          <w:sz w:val="22"/>
          <w:szCs w:val="22"/>
        </w:rPr>
        <w:t>complainant</w:t>
      </w:r>
      <w:r w:rsidR="00586A79">
        <w:rPr>
          <w:bCs/>
          <w:sz w:val="22"/>
          <w:szCs w:val="22"/>
        </w:rPr>
        <w:t xml:space="preserve">’s family and/or members of their community may go to great lengths to discover their whereabouts once a crime has been reported.  The risks to the </w:t>
      </w:r>
      <w:r w:rsidR="003013D7">
        <w:rPr>
          <w:bCs/>
          <w:sz w:val="22"/>
          <w:szCs w:val="22"/>
        </w:rPr>
        <w:t>complainant</w:t>
      </w:r>
      <w:r w:rsidR="00586A79">
        <w:rPr>
          <w:bCs/>
          <w:sz w:val="22"/>
          <w:szCs w:val="22"/>
        </w:rPr>
        <w:t xml:space="preserve"> from her/his entire family, the </w:t>
      </w:r>
      <w:r w:rsidR="006839B5">
        <w:rPr>
          <w:bCs/>
          <w:sz w:val="22"/>
          <w:szCs w:val="22"/>
        </w:rPr>
        <w:t>suspect</w:t>
      </w:r>
      <w:r w:rsidR="00586A79">
        <w:rPr>
          <w:bCs/>
          <w:sz w:val="22"/>
          <w:szCs w:val="22"/>
        </w:rPr>
        <w:t xml:space="preserve">’s family and the community should be considered in such cases; not just the direct risk of the immediate </w:t>
      </w:r>
      <w:r w:rsidR="006839B5">
        <w:rPr>
          <w:bCs/>
          <w:sz w:val="22"/>
          <w:szCs w:val="22"/>
        </w:rPr>
        <w:t>suspect</w:t>
      </w:r>
      <w:r w:rsidR="00586A79">
        <w:rPr>
          <w:bCs/>
          <w:sz w:val="22"/>
          <w:szCs w:val="22"/>
        </w:rPr>
        <w:t xml:space="preserve">(s) on the </w:t>
      </w:r>
      <w:r w:rsidR="003013D7">
        <w:rPr>
          <w:bCs/>
          <w:sz w:val="22"/>
          <w:szCs w:val="22"/>
        </w:rPr>
        <w:t>complainant</w:t>
      </w:r>
      <w:r w:rsidR="00586A79">
        <w:rPr>
          <w:bCs/>
          <w:sz w:val="22"/>
          <w:szCs w:val="22"/>
        </w:rPr>
        <w:t xml:space="preserve">. There is evidence that the risks to the </w:t>
      </w:r>
      <w:r w:rsidR="003013D7">
        <w:rPr>
          <w:bCs/>
          <w:sz w:val="22"/>
          <w:szCs w:val="22"/>
        </w:rPr>
        <w:t>complainant</w:t>
      </w:r>
      <w:r w:rsidR="00586A79">
        <w:rPr>
          <w:bCs/>
          <w:sz w:val="22"/>
          <w:szCs w:val="22"/>
        </w:rPr>
        <w:t xml:space="preserve"> increase after they have </w:t>
      </w:r>
      <w:r w:rsidR="0063468B">
        <w:rPr>
          <w:bCs/>
          <w:sz w:val="22"/>
          <w:szCs w:val="22"/>
        </w:rPr>
        <w:t>engaged with</w:t>
      </w:r>
      <w:r w:rsidR="00586A79">
        <w:rPr>
          <w:bCs/>
          <w:sz w:val="22"/>
          <w:szCs w:val="22"/>
        </w:rPr>
        <w:t xml:space="preserve"> the police service.  In addition the risks also extend to others who may have assisted or otherwise supported the </w:t>
      </w:r>
      <w:r w:rsidR="003013D7">
        <w:rPr>
          <w:bCs/>
          <w:sz w:val="22"/>
          <w:szCs w:val="22"/>
        </w:rPr>
        <w:t>complainant</w:t>
      </w:r>
      <w:r w:rsidR="00586A79">
        <w:rPr>
          <w:bCs/>
          <w:sz w:val="22"/>
          <w:szCs w:val="22"/>
        </w:rPr>
        <w:t xml:space="preserve"> and these need to be consider</w:t>
      </w:r>
      <w:r w:rsidR="00BB4D72">
        <w:rPr>
          <w:bCs/>
          <w:sz w:val="22"/>
          <w:szCs w:val="22"/>
        </w:rPr>
        <w:t>ed</w:t>
      </w:r>
      <w:r w:rsidR="00586A79">
        <w:rPr>
          <w:bCs/>
          <w:sz w:val="22"/>
          <w:szCs w:val="22"/>
        </w:rPr>
        <w:t xml:space="preserve"> by the police</w:t>
      </w:r>
      <w:r w:rsidR="00565C08">
        <w:rPr>
          <w:bCs/>
          <w:sz w:val="22"/>
          <w:szCs w:val="22"/>
        </w:rPr>
        <w:t xml:space="preserve"> e.g. siblings or undisclosed partner</w:t>
      </w:r>
      <w:r w:rsidR="00586A79">
        <w:rPr>
          <w:bCs/>
          <w:sz w:val="22"/>
          <w:szCs w:val="22"/>
        </w:rPr>
        <w:t>.</w:t>
      </w:r>
      <w:r w:rsidR="00586A79">
        <w:rPr>
          <w:bCs/>
          <w:sz w:val="22"/>
          <w:szCs w:val="22"/>
        </w:rPr>
        <w:br/>
      </w:r>
    </w:p>
    <w:p w:rsidR="00586A79" w:rsidRDefault="002922BC" w:rsidP="008D7311">
      <w:pPr>
        <w:pStyle w:val="Default"/>
        <w:rPr>
          <w:bCs/>
          <w:sz w:val="22"/>
          <w:szCs w:val="22"/>
        </w:rPr>
      </w:pPr>
      <w:r>
        <w:rPr>
          <w:bCs/>
          <w:sz w:val="22"/>
          <w:szCs w:val="22"/>
        </w:rPr>
        <w:t>4.</w:t>
      </w:r>
      <w:r w:rsidR="00C81F15">
        <w:rPr>
          <w:bCs/>
          <w:sz w:val="22"/>
          <w:szCs w:val="22"/>
        </w:rPr>
        <w:t>8</w:t>
      </w:r>
      <w:r w:rsidR="00586A79" w:rsidRPr="008D7311">
        <w:rPr>
          <w:bCs/>
          <w:sz w:val="22"/>
          <w:szCs w:val="22"/>
        </w:rPr>
        <w:t xml:space="preserve"> In most cases the police will establish whether a witness is in fear and should inform the prosecutor. Ideally, a discussion about the type of 'protection' that should be applied for will take place between the police and the prosecutor at the pre charge stage. In some very serious cases </w:t>
      </w:r>
      <w:r w:rsidR="00586A79">
        <w:rPr>
          <w:bCs/>
          <w:sz w:val="22"/>
          <w:szCs w:val="22"/>
        </w:rPr>
        <w:t>w</w:t>
      </w:r>
      <w:r w:rsidR="00586A79" w:rsidRPr="008D7311">
        <w:rPr>
          <w:bCs/>
          <w:sz w:val="22"/>
          <w:szCs w:val="22"/>
        </w:rPr>
        <w:t xml:space="preserve">itness </w:t>
      </w:r>
      <w:r w:rsidR="00586A79">
        <w:rPr>
          <w:bCs/>
          <w:sz w:val="22"/>
          <w:szCs w:val="22"/>
        </w:rPr>
        <w:t>p</w:t>
      </w:r>
      <w:r w:rsidR="00586A79" w:rsidRPr="008D7311">
        <w:rPr>
          <w:bCs/>
          <w:sz w:val="22"/>
          <w:szCs w:val="22"/>
        </w:rPr>
        <w:t xml:space="preserve">rotection will be necessary.  Prosecutors should refer to the </w:t>
      </w:r>
      <w:hyperlink r:id="rId30" w:history="1">
        <w:r w:rsidR="00530680">
          <w:rPr>
            <w:rStyle w:val="Hyperlink"/>
            <w:rFonts w:cs="Arial"/>
            <w:bCs/>
            <w:sz w:val="22"/>
            <w:szCs w:val="22"/>
          </w:rPr>
          <w:t>Witness Protection and Anonymity Legal Guidance</w:t>
        </w:r>
      </w:hyperlink>
      <w:r w:rsidR="00586A79">
        <w:rPr>
          <w:bCs/>
          <w:sz w:val="22"/>
          <w:szCs w:val="22"/>
        </w:rPr>
        <w:t>.</w:t>
      </w:r>
    </w:p>
    <w:p w:rsidR="00586A79" w:rsidRDefault="00586A79" w:rsidP="001705DD">
      <w:pPr>
        <w:pStyle w:val="Default"/>
        <w:rPr>
          <w:bCs/>
          <w:sz w:val="22"/>
          <w:szCs w:val="22"/>
        </w:rPr>
      </w:pPr>
    </w:p>
    <w:p w:rsidR="00586A79" w:rsidRDefault="002922BC" w:rsidP="00112178">
      <w:pPr>
        <w:pStyle w:val="Default"/>
        <w:rPr>
          <w:sz w:val="22"/>
          <w:szCs w:val="22"/>
        </w:rPr>
      </w:pPr>
      <w:r>
        <w:rPr>
          <w:sz w:val="22"/>
          <w:szCs w:val="22"/>
        </w:rPr>
        <w:t>4.</w:t>
      </w:r>
      <w:r w:rsidR="00C81F15">
        <w:rPr>
          <w:sz w:val="22"/>
          <w:szCs w:val="22"/>
        </w:rPr>
        <w:t>9</w:t>
      </w:r>
      <w:r w:rsidR="00586A79" w:rsidRPr="008E68C4">
        <w:rPr>
          <w:sz w:val="22"/>
          <w:szCs w:val="22"/>
        </w:rPr>
        <w:t xml:space="preserve"> The police will ensure that the</w:t>
      </w:r>
      <w:r w:rsidR="005E3E00">
        <w:rPr>
          <w:sz w:val="22"/>
          <w:szCs w:val="22"/>
        </w:rPr>
        <w:t xml:space="preserve"> </w:t>
      </w:r>
      <w:hyperlink r:id="rId31" w:history="1">
        <w:r w:rsidR="00586A79">
          <w:rPr>
            <w:rStyle w:val="Hyperlink"/>
            <w:rFonts w:cs="Arial"/>
            <w:sz w:val="22"/>
            <w:szCs w:val="22"/>
          </w:rPr>
          <w:t>Domestic Abuse, Stalking and HBV risk assessment (DASH)</w:t>
        </w:r>
      </w:hyperlink>
      <w:r w:rsidR="005E3E00">
        <w:rPr>
          <w:rStyle w:val="FootnoteReference"/>
          <w:color w:val="0000FF"/>
          <w:sz w:val="22"/>
          <w:szCs w:val="22"/>
          <w:u w:val="single"/>
        </w:rPr>
        <w:footnoteReference w:id="9"/>
      </w:r>
      <w:r w:rsidR="002C29CC">
        <w:rPr>
          <w:rStyle w:val="Hyperlink"/>
          <w:rFonts w:cs="Arial"/>
          <w:sz w:val="22"/>
          <w:szCs w:val="22"/>
          <w:u w:val="none"/>
        </w:rPr>
        <w:t xml:space="preserve"> </w:t>
      </w:r>
      <w:r w:rsidR="00586A79" w:rsidRPr="008E68C4">
        <w:rPr>
          <w:sz w:val="22"/>
          <w:szCs w:val="22"/>
        </w:rPr>
        <w:t xml:space="preserve">is used to assess the risk to the </w:t>
      </w:r>
      <w:r w:rsidR="003013D7">
        <w:rPr>
          <w:sz w:val="22"/>
          <w:szCs w:val="22"/>
        </w:rPr>
        <w:t>complainant</w:t>
      </w:r>
      <w:r w:rsidR="00586A79" w:rsidRPr="008E68C4">
        <w:rPr>
          <w:sz w:val="22"/>
          <w:szCs w:val="22"/>
        </w:rPr>
        <w:t xml:space="preserve"> and inform the development of safeguarding plans in relation to the </w:t>
      </w:r>
      <w:r w:rsidR="003013D7">
        <w:rPr>
          <w:sz w:val="22"/>
          <w:szCs w:val="22"/>
        </w:rPr>
        <w:t>complainant</w:t>
      </w:r>
      <w:r w:rsidR="00CC2FBC">
        <w:rPr>
          <w:rStyle w:val="FootnoteReference"/>
          <w:sz w:val="22"/>
          <w:szCs w:val="22"/>
        </w:rPr>
        <w:footnoteReference w:id="10"/>
      </w:r>
      <w:r w:rsidR="00586A79" w:rsidRPr="008E68C4">
        <w:rPr>
          <w:sz w:val="22"/>
          <w:szCs w:val="22"/>
        </w:rPr>
        <w:t xml:space="preserve">. </w:t>
      </w:r>
      <w:r w:rsidR="00586A79">
        <w:rPr>
          <w:sz w:val="22"/>
          <w:szCs w:val="22"/>
        </w:rPr>
        <w:t xml:space="preserve"> First response staff and their supervisor should </w:t>
      </w:r>
      <w:r w:rsidR="00586A79" w:rsidRPr="002B2BA9">
        <w:rPr>
          <w:sz w:val="22"/>
          <w:szCs w:val="22"/>
          <w:u w:val="single"/>
        </w:rPr>
        <w:t>identify</w:t>
      </w:r>
      <w:r w:rsidR="00586A79">
        <w:rPr>
          <w:sz w:val="22"/>
          <w:szCs w:val="22"/>
        </w:rPr>
        <w:t xml:space="preserve"> risk factors, </w:t>
      </w:r>
      <w:r w:rsidR="00586A79" w:rsidRPr="002B2BA9">
        <w:rPr>
          <w:sz w:val="22"/>
          <w:szCs w:val="22"/>
          <w:u w:val="single"/>
        </w:rPr>
        <w:t>who</w:t>
      </w:r>
      <w:r w:rsidR="00586A79">
        <w:rPr>
          <w:sz w:val="22"/>
          <w:szCs w:val="22"/>
        </w:rPr>
        <w:t xml:space="preserve"> is at risk and decide </w:t>
      </w:r>
      <w:r w:rsidR="00586A79" w:rsidRPr="002B2BA9">
        <w:rPr>
          <w:sz w:val="22"/>
          <w:szCs w:val="22"/>
          <w:u w:val="single"/>
        </w:rPr>
        <w:t>what</w:t>
      </w:r>
      <w:r w:rsidR="00586A79">
        <w:rPr>
          <w:sz w:val="22"/>
          <w:szCs w:val="22"/>
        </w:rPr>
        <w:t xml:space="preserve"> level of intervention is required.  Question 20 in the DASH outlines further questioning required in </w:t>
      </w:r>
      <w:r w:rsidR="00247BDD">
        <w:rPr>
          <w:sz w:val="22"/>
          <w:szCs w:val="22"/>
        </w:rPr>
        <w:t>so-called</w:t>
      </w:r>
      <w:r w:rsidR="003210B1">
        <w:rPr>
          <w:sz w:val="22"/>
          <w:szCs w:val="22"/>
        </w:rPr>
        <w:t xml:space="preserve"> HBV/A</w:t>
      </w:r>
      <w:r w:rsidR="00586A79">
        <w:rPr>
          <w:sz w:val="22"/>
          <w:szCs w:val="22"/>
        </w:rPr>
        <w:t xml:space="preserve"> and FM cases such as exploration into ‘house arrest’, being ‘policed at home’ and fear of being forced into engagement/marriage</w:t>
      </w:r>
      <w:r w:rsidR="003230AE">
        <w:rPr>
          <w:rStyle w:val="FootnoteReference"/>
          <w:sz w:val="22"/>
          <w:szCs w:val="22"/>
        </w:rPr>
        <w:footnoteReference w:id="11"/>
      </w:r>
      <w:r w:rsidR="00586A79">
        <w:rPr>
          <w:sz w:val="22"/>
          <w:szCs w:val="22"/>
        </w:rPr>
        <w:t>.</w:t>
      </w:r>
    </w:p>
    <w:p w:rsidR="00586A79" w:rsidRDefault="00586A79" w:rsidP="00112178">
      <w:pPr>
        <w:pStyle w:val="Default"/>
        <w:rPr>
          <w:sz w:val="22"/>
          <w:szCs w:val="22"/>
        </w:rPr>
      </w:pPr>
    </w:p>
    <w:p w:rsidR="00586A79" w:rsidRDefault="00586A79" w:rsidP="00112178">
      <w:pPr>
        <w:pStyle w:val="Default"/>
        <w:rPr>
          <w:sz w:val="22"/>
          <w:szCs w:val="22"/>
        </w:rPr>
      </w:pPr>
      <w:r>
        <w:rPr>
          <w:sz w:val="22"/>
          <w:szCs w:val="22"/>
        </w:rPr>
        <w:t>4.</w:t>
      </w:r>
      <w:r w:rsidR="00C81F15">
        <w:rPr>
          <w:sz w:val="22"/>
          <w:szCs w:val="22"/>
        </w:rPr>
        <w:t>10</w:t>
      </w:r>
      <w:r>
        <w:rPr>
          <w:sz w:val="22"/>
          <w:szCs w:val="22"/>
        </w:rPr>
        <w:t xml:space="preserve"> Police must ensure they ask the </w:t>
      </w:r>
      <w:r w:rsidR="003013D7">
        <w:rPr>
          <w:sz w:val="22"/>
          <w:szCs w:val="22"/>
        </w:rPr>
        <w:t>complainant</w:t>
      </w:r>
      <w:r>
        <w:rPr>
          <w:sz w:val="22"/>
          <w:szCs w:val="22"/>
        </w:rPr>
        <w:t xml:space="preserve"> about the abusers behaviour in all cases of </w:t>
      </w:r>
      <w:r w:rsidR="00247BDD">
        <w:rPr>
          <w:sz w:val="22"/>
          <w:szCs w:val="22"/>
        </w:rPr>
        <w:t>so-called</w:t>
      </w:r>
      <w:r w:rsidR="003210B1">
        <w:rPr>
          <w:sz w:val="22"/>
          <w:szCs w:val="22"/>
        </w:rPr>
        <w:t xml:space="preserve"> HBV/</w:t>
      </w:r>
      <w:proofErr w:type="gramStart"/>
      <w:r w:rsidR="003210B1">
        <w:rPr>
          <w:sz w:val="22"/>
          <w:szCs w:val="22"/>
        </w:rPr>
        <w:t>A</w:t>
      </w:r>
      <w:r>
        <w:rPr>
          <w:sz w:val="22"/>
          <w:szCs w:val="22"/>
        </w:rPr>
        <w:t xml:space="preserve"> and</w:t>
      </w:r>
      <w:proofErr w:type="gramEnd"/>
      <w:r>
        <w:rPr>
          <w:sz w:val="22"/>
          <w:szCs w:val="22"/>
        </w:rPr>
        <w:t xml:space="preserve"> FM.  </w:t>
      </w:r>
      <w:r w:rsidR="009770E3">
        <w:rPr>
          <w:sz w:val="22"/>
          <w:szCs w:val="22"/>
        </w:rPr>
        <w:t xml:space="preserve">The risk identification process must remain on-going.  Events and circumstances may undergo rapid and frequent change hence resulting in increases to the risk of the </w:t>
      </w:r>
      <w:r w:rsidR="003013D7">
        <w:rPr>
          <w:sz w:val="22"/>
          <w:szCs w:val="22"/>
        </w:rPr>
        <w:t>complainant</w:t>
      </w:r>
      <w:r w:rsidR="009770E3">
        <w:rPr>
          <w:sz w:val="22"/>
          <w:szCs w:val="22"/>
        </w:rPr>
        <w:t xml:space="preserve">.  The assessment must be kept under constant review.  </w:t>
      </w:r>
      <w:r>
        <w:rPr>
          <w:sz w:val="22"/>
          <w:szCs w:val="22"/>
        </w:rPr>
        <w:t>High risk cases may well require a multi-agency response and should be</w:t>
      </w:r>
      <w:r w:rsidR="00A2429A">
        <w:rPr>
          <w:sz w:val="22"/>
          <w:szCs w:val="22"/>
        </w:rPr>
        <w:t xml:space="preserve"> considered for</w:t>
      </w:r>
      <w:r>
        <w:rPr>
          <w:sz w:val="22"/>
          <w:szCs w:val="22"/>
        </w:rPr>
        <w:t xml:space="preserve"> referr</w:t>
      </w:r>
      <w:r w:rsidR="00A2429A">
        <w:rPr>
          <w:sz w:val="22"/>
          <w:szCs w:val="22"/>
        </w:rPr>
        <w:t>al</w:t>
      </w:r>
      <w:r>
        <w:rPr>
          <w:sz w:val="22"/>
          <w:szCs w:val="22"/>
        </w:rPr>
        <w:t xml:space="preserve"> to the relevant risk management panel i.e. the </w:t>
      </w:r>
      <w:r w:rsidRPr="00E45A5B">
        <w:rPr>
          <w:caps/>
          <w:sz w:val="22"/>
          <w:szCs w:val="22"/>
        </w:rPr>
        <w:t>m</w:t>
      </w:r>
      <w:r>
        <w:rPr>
          <w:sz w:val="22"/>
          <w:szCs w:val="22"/>
        </w:rPr>
        <w:t>ulti-</w:t>
      </w:r>
      <w:r w:rsidRPr="00E45A5B">
        <w:rPr>
          <w:caps/>
          <w:sz w:val="22"/>
          <w:szCs w:val="22"/>
        </w:rPr>
        <w:t>a</w:t>
      </w:r>
      <w:r>
        <w:rPr>
          <w:sz w:val="22"/>
          <w:szCs w:val="22"/>
        </w:rPr>
        <w:t xml:space="preserve">gency </w:t>
      </w:r>
      <w:r w:rsidRPr="00E45A5B">
        <w:rPr>
          <w:caps/>
          <w:sz w:val="22"/>
          <w:szCs w:val="22"/>
        </w:rPr>
        <w:t>r</w:t>
      </w:r>
      <w:r>
        <w:rPr>
          <w:sz w:val="22"/>
          <w:szCs w:val="22"/>
        </w:rPr>
        <w:t xml:space="preserve">isk </w:t>
      </w:r>
      <w:r w:rsidRPr="00E45A5B">
        <w:rPr>
          <w:caps/>
          <w:sz w:val="22"/>
          <w:szCs w:val="22"/>
        </w:rPr>
        <w:t>a</w:t>
      </w:r>
      <w:r>
        <w:rPr>
          <w:sz w:val="22"/>
          <w:szCs w:val="22"/>
        </w:rPr>
        <w:t xml:space="preserve">ssessment Conference (MARAC) </w:t>
      </w:r>
      <w:r w:rsidR="00583503">
        <w:rPr>
          <w:sz w:val="22"/>
          <w:szCs w:val="22"/>
        </w:rPr>
        <w:t>and/</w:t>
      </w:r>
      <w:r>
        <w:rPr>
          <w:sz w:val="22"/>
          <w:szCs w:val="22"/>
        </w:rPr>
        <w:t xml:space="preserve">or </w:t>
      </w:r>
      <w:r w:rsidRPr="00E45A5B">
        <w:rPr>
          <w:caps/>
          <w:sz w:val="22"/>
          <w:szCs w:val="22"/>
        </w:rPr>
        <w:t>m</w:t>
      </w:r>
      <w:r>
        <w:rPr>
          <w:sz w:val="22"/>
          <w:szCs w:val="22"/>
        </w:rPr>
        <w:t xml:space="preserve">ulti-Agency </w:t>
      </w:r>
      <w:r w:rsidRPr="00E45A5B">
        <w:rPr>
          <w:caps/>
          <w:sz w:val="22"/>
          <w:szCs w:val="22"/>
        </w:rPr>
        <w:t>p</w:t>
      </w:r>
      <w:r>
        <w:rPr>
          <w:sz w:val="22"/>
          <w:szCs w:val="22"/>
        </w:rPr>
        <w:t xml:space="preserve">ublic </w:t>
      </w:r>
      <w:r w:rsidRPr="00E45A5B">
        <w:rPr>
          <w:caps/>
          <w:sz w:val="22"/>
          <w:szCs w:val="22"/>
        </w:rPr>
        <w:t>p</w:t>
      </w:r>
      <w:r>
        <w:rPr>
          <w:sz w:val="22"/>
          <w:szCs w:val="22"/>
        </w:rPr>
        <w:t xml:space="preserve">rotection </w:t>
      </w:r>
      <w:r w:rsidRPr="00E45A5B">
        <w:rPr>
          <w:caps/>
          <w:sz w:val="22"/>
          <w:szCs w:val="22"/>
        </w:rPr>
        <w:t>p</w:t>
      </w:r>
      <w:r>
        <w:rPr>
          <w:sz w:val="22"/>
          <w:szCs w:val="22"/>
        </w:rPr>
        <w:t>anel (MAPPA).</w:t>
      </w:r>
    </w:p>
    <w:p w:rsidR="00586A79" w:rsidRDefault="00586A79" w:rsidP="000D1E16">
      <w:pPr>
        <w:pStyle w:val="Default"/>
        <w:rPr>
          <w:sz w:val="22"/>
          <w:szCs w:val="22"/>
        </w:rPr>
      </w:pPr>
    </w:p>
    <w:p w:rsidR="00586A79" w:rsidRPr="00953743" w:rsidRDefault="00586A79" w:rsidP="00B51338">
      <w:pPr>
        <w:pStyle w:val="Default"/>
        <w:rPr>
          <w:sz w:val="22"/>
          <w:szCs w:val="22"/>
        </w:rPr>
      </w:pPr>
      <w:r>
        <w:rPr>
          <w:sz w:val="22"/>
          <w:szCs w:val="22"/>
        </w:rPr>
        <w:t>4.</w:t>
      </w:r>
      <w:r w:rsidR="00C81F15">
        <w:rPr>
          <w:sz w:val="22"/>
          <w:szCs w:val="22"/>
        </w:rPr>
        <w:t>11</w:t>
      </w:r>
      <w:r>
        <w:rPr>
          <w:sz w:val="22"/>
          <w:szCs w:val="22"/>
        </w:rPr>
        <w:t xml:space="preserve"> Police and prosecutors should be aware that </w:t>
      </w:r>
      <w:r w:rsidR="006839B5">
        <w:rPr>
          <w:sz w:val="22"/>
          <w:szCs w:val="22"/>
        </w:rPr>
        <w:t>suspects</w:t>
      </w:r>
      <w:r>
        <w:rPr>
          <w:sz w:val="22"/>
          <w:szCs w:val="22"/>
        </w:rPr>
        <w:t xml:space="preserve"> may take </w:t>
      </w:r>
      <w:r w:rsidR="003013D7">
        <w:rPr>
          <w:sz w:val="22"/>
          <w:szCs w:val="22"/>
        </w:rPr>
        <w:t>complainant</w:t>
      </w:r>
      <w:r>
        <w:rPr>
          <w:sz w:val="22"/>
          <w:szCs w:val="22"/>
        </w:rPr>
        <w:t xml:space="preserve">s of </w:t>
      </w:r>
      <w:r w:rsidR="00247BDD">
        <w:rPr>
          <w:sz w:val="22"/>
          <w:szCs w:val="22"/>
        </w:rPr>
        <w:t>so-called</w:t>
      </w:r>
      <w:r w:rsidR="00C71951">
        <w:rPr>
          <w:sz w:val="22"/>
          <w:szCs w:val="22"/>
        </w:rPr>
        <w:t xml:space="preserve"> </w:t>
      </w:r>
      <w:r>
        <w:rPr>
          <w:sz w:val="22"/>
          <w:szCs w:val="22"/>
        </w:rPr>
        <w:t>HBV</w:t>
      </w:r>
      <w:r w:rsidR="00FA3F7D">
        <w:rPr>
          <w:sz w:val="22"/>
          <w:szCs w:val="22"/>
        </w:rPr>
        <w:t>/</w:t>
      </w:r>
      <w:proofErr w:type="gramStart"/>
      <w:r w:rsidR="00FA3F7D">
        <w:rPr>
          <w:sz w:val="22"/>
          <w:szCs w:val="22"/>
        </w:rPr>
        <w:t>A</w:t>
      </w:r>
      <w:r>
        <w:rPr>
          <w:sz w:val="22"/>
          <w:szCs w:val="22"/>
        </w:rPr>
        <w:t xml:space="preserve"> and</w:t>
      </w:r>
      <w:proofErr w:type="gramEnd"/>
      <w:r>
        <w:rPr>
          <w:sz w:val="22"/>
          <w:szCs w:val="22"/>
        </w:rPr>
        <w:t xml:space="preserve"> FM abroad to commit these crimes, they may be aware that the police and prosecutorial response is weak or non-existent in these other countries.  </w:t>
      </w:r>
      <w:r w:rsidRPr="00953743">
        <w:rPr>
          <w:sz w:val="22"/>
          <w:szCs w:val="22"/>
        </w:rPr>
        <w:t>Given the international nature of these crimes, early discussions with the extradition team at CPS Headquarters may assist.</w:t>
      </w:r>
      <w:r>
        <w:rPr>
          <w:sz w:val="22"/>
          <w:szCs w:val="22"/>
        </w:rPr>
        <w:t xml:space="preserve">  Information on the CPS extradition unit can be found on the</w:t>
      </w:r>
      <w:r w:rsidR="00D34A80">
        <w:rPr>
          <w:sz w:val="22"/>
          <w:szCs w:val="22"/>
        </w:rPr>
        <w:t xml:space="preserve"> internal</w:t>
      </w:r>
      <w:r>
        <w:rPr>
          <w:sz w:val="22"/>
          <w:szCs w:val="22"/>
        </w:rPr>
        <w:t xml:space="preserve"> CPS casework and knowledge hub.  </w:t>
      </w:r>
    </w:p>
    <w:p w:rsidR="00586A79" w:rsidRDefault="00586A79" w:rsidP="000D1E16">
      <w:pPr>
        <w:pStyle w:val="Default"/>
        <w:rPr>
          <w:sz w:val="22"/>
          <w:szCs w:val="22"/>
        </w:rPr>
      </w:pPr>
    </w:p>
    <w:p w:rsidR="005A2777" w:rsidRPr="000D3ECB" w:rsidRDefault="003B3A8A" w:rsidP="005A2777">
      <w:pPr>
        <w:rPr>
          <w:rFonts w:ascii="Arial" w:hAnsi="Arial" w:cs="Arial"/>
        </w:rPr>
      </w:pPr>
      <w:bookmarkStart w:id="4" w:name="Section5"/>
      <w:r>
        <w:rPr>
          <w:rFonts w:ascii="Arial" w:hAnsi="Arial" w:cs="Arial"/>
          <w:b/>
          <w:bCs/>
        </w:rPr>
        <w:t>5</w:t>
      </w:r>
      <w:r w:rsidR="005A2777" w:rsidRPr="000D3ECB">
        <w:rPr>
          <w:rFonts w:ascii="Arial" w:hAnsi="Arial" w:cs="Arial"/>
          <w:b/>
          <w:bCs/>
        </w:rPr>
        <w:t xml:space="preserve">. SECTION </w:t>
      </w:r>
      <w:r>
        <w:rPr>
          <w:rFonts w:ascii="Arial" w:hAnsi="Arial" w:cs="Arial"/>
          <w:b/>
          <w:bCs/>
        </w:rPr>
        <w:t>5</w:t>
      </w:r>
      <w:r w:rsidR="005A2777" w:rsidRPr="000D3ECB">
        <w:rPr>
          <w:rFonts w:ascii="Arial" w:hAnsi="Arial" w:cs="Arial"/>
          <w:b/>
          <w:bCs/>
        </w:rPr>
        <w:t xml:space="preserve"> – PROTECTION ORDERS AND RESTRAINING ORDERS</w:t>
      </w:r>
    </w:p>
    <w:bookmarkEnd w:id="4"/>
    <w:p w:rsidR="005A2777" w:rsidRPr="009B50AF" w:rsidRDefault="005A2777" w:rsidP="005A2777">
      <w:pPr>
        <w:rPr>
          <w:rFonts w:ascii="Arial" w:hAnsi="Arial" w:cs="Arial"/>
          <w:highlight w:val="yellow"/>
        </w:rPr>
      </w:pPr>
    </w:p>
    <w:p w:rsidR="005A2777" w:rsidRPr="0008459D" w:rsidRDefault="003B3A8A" w:rsidP="005A2777">
      <w:pPr>
        <w:rPr>
          <w:rFonts w:ascii="Arial" w:hAnsi="Arial" w:cs="Arial"/>
        </w:rPr>
      </w:pPr>
      <w:r>
        <w:rPr>
          <w:rFonts w:ascii="Arial" w:hAnsi="Arial" w:cs="Arial"/>
        </w:rPr>
        <w:t>5</w:t>
      </w:r>
      <w:r w:rsidR="005A2777" w:rsidRPr="00C978CC">
        <w:rPr>
          <w:rFonts w:ascii="Arial" w:hAnsi="Arial" w:cs="Arial"/>
        </w:rPr>
        <w:t xml:space="preserve">.1 Restraining orders will often be essential to ensure the on-going safety and security of </w:t>
      </w:r>
      <w:r w:rsidR="00F6271C">
        <w:rPr>
          <w:rFonts w:ascii="Arial" w:hAnsi="Arial" w:cs="Arial"/>
        </w:rPr>
        <w:t>victims</w:t>
      </w:r>
      <w:r w:rsidR="005A2777" w:rsidRPr="00C978CC">
        <w:rPr>
          <w:rFonts w:ascii="Arial" w:hAnsi="Arial" w:cs="Arial"/>
        </w:rPr>
        <w:t xml:space="preserve"> of </w:t>
      </w:r>
      <w:r w:rsidR="00247BDD">
        <w:rPr>
          <w:rFonts w:ascii="Arial" w:hAnsi="Arial" w:cs="Arial"/>
        </w:rPr>
        <w:t>so-called</w:t>
      </w:r>
      <w:r w:rsidR="005A2777">
        <w:rPr>
          <w:rFonts w:ascii="Arial" w:hAnsi="Arial" w:cs="Arial"/>
        </w:rPr>
        <w:t xml:space="preserve"> HBV/</w:t>
      </w:r>
      <w:proofErr w:type="gramStart"/>
      <w:r w:rsidR="005A2777">
        <w:rPr>
          <w:rFonts w:ascii="Arial" w:hAnsi="Arial" w:cs="Arial"/>
        </w:rPr>
        <w:t>A and</w:t>
      </w:r>
      <w:proofErr w:type="gramEnd"/>
      <w:r w:rsidR="005A2777">
        <w:rPr>
          <w:rFonts w:ascii="Arial" w:hAnsi="Arial" w:cs="Arial"/>
        </w:rPr>
        <w:t xml:space="preserve"> FM</w:t>
      </w:r>
      <w:r w:rsidR="005A2777" w:rsidRPr="00C978CC">
        <w:rPr>
          <w:rFonts w:ascii="Arial" w:hAnsi="Arial" w:cs="Arial"/>
        </w:rPr>
        <w:t xml:space="preserve">. The police will explain to </w:t>
      </w:r>
      <w:r w:rsidR="00F6271C">
        <w:rPr>
          <w:rFonts w:ascii="Arial" w:hAnsi="Arial" w:cs="Arial"/>
        </w:rPr>
        <w:t>victim</w:t>
      </w:r>
      <w:r w:rsidR="005A2777" w:rsidRPr="00C978CC">
        <w:rPr>
          <w:rFonts w:ascii="Arial" w:hAnsi="Arial" w:cs="Arial"/>
        </w:rPr>
        <w:t xml:space="preserve">s that restraining orders </w:t>
      </w:r>
      <w:r w:rsidR="005A2777">
        <w:rPr>
          <w:rFonts w:ascii="Arial" w:hAnsi="Arial" w:cs="Arial"/>
        </w:rPr>
        <w:t>can</w:t>
      </w:r>
      <w:r w:rsidR="005A2777" w:rsidRPr="00C978CC">
        <w:rPr>
          <w:rFonts w:ascii="Arial" w:hAnsi="Arial" w:cs="Arial"/>
        </w:rPr>
        <w:t xml:space="preserve"> be applied for on conviction</w:t>
      </w:r>
      <w:r w:rsidR="005A2777">
        <w:rPr>
          <w:rFonts w:ascii="Arial" w:hAnsi="Arial" w:cs="Arial"/>
        </w:rPr>
        <w:t xml:space="preserve"> and upon acquittal.  </w:t>
      </w:r>
      <w:r w:rsidR="005A2777" w:rsidRPr="0008459D">
        <w:rPr>
          <w:rFonts w:ascii="Arial" w:hAnsi="Arial" w:cs="Arial"/>
        </w:rPr>
        <w:t xml:space="preserve">Prosecutors will ensure that the police have sought the </w:t>
      </w:r>
      <w:r w:rsidR="00F6271C">
        <w:rPr>
          <w:rFonts w:ascii="Arial" w:hAnsi="Arial" w:cs="Arial"/>
        </w:rPr>
        <w:t>victim</w:t>
      </w:r>
      <w:r w:rsidR="005A2777" w:rsidRPr="0008459D">
        <w:rPr>
          <w:rFonts w:ascii="Arial" w:hAnsi="Arial" w:cs="Arial"/>
        </w:rPr>
        <w:t xml:space="preserve">’s views, and provided accurate information to support the application for a restraining order. </w:t>
      </w:r>
    </w:p>
    <w:p w:rsidR="005A2777" w:rsidRPr="0008459D" w:rsidRDefault="005A2777" w:rsidP="005A2777">
      <w:pPr>
        <w:rPr>
          <w:rFonts w:ascii="Arial" w:hAnsi="Arial" w:cs="Arial"/>
        </w:rPr>
      </w:pPr>
    </w:p>
    <w:p w:rsidR="005A2777" w:rsidRDefault="003B3A8A" w:rsidP="005A2777">
      <w:pPr>
        <w:rPr>
          <w:rFonts w:ascii="Arial" w:hAnsi="Arial" w:cs="Arial"/>
        </w:rPr>
      </w:pPr>
      <w:r>
        <w:rPr>
          <w:rFonts w:ascii="Arial" w:hAnsi="Arial" w:cs="Arial"/>
        </w:rPr>
        <w:t>5</w:t>
      </w:r>
      <w:r w:rsidR="005A2777" w:rsidRPr="0008459D">
        <w:rPr>
          <w:rFonts w:ascii="Arial" w:hAnsi="Arial" w:cs="Arial"/>
        </w:rPr>
        <w:t>.</w:t>
      </w:r>
      <w:r w:rsidR="005A2777">
        <w:rPr>
          <w:rFonts w:ascii="Arial" w:hAnsi="Arial" w:cs="Arial"/>
        </w:rPr>
        <w:t>2</w:t>
      </w:r>
      <w:r w:rsidR="005A2777" w:rsidRPr="0008459D">
        <w:rPr>
          <w:rFonts w:ascii="Arial" w:hAnsi="Arial" w:cs="Arial"/>
        </w:rPr>
        <w:t xml:space="preserve"> Prosecutors will inform the police if a restraining order is granted by the court. The police will promptly inform the </w:t>
      </w:r>
      <w:r w:rsidR="00F6271C">
        <w:rPr>
          <w:rFonts w:ascii="Arial" w:hAnsi="Arial" w:cs="Arial"/>
        </w:rPr>
        <w:t>victim</w:t>
      </w:r>
      <w:r w:rsidR="005A2777">
        <w:rPr>
          <w:rFonts w:ascii="Arial" w:hAnsi="Arial" w:cs="Arial"/>
        </w:rPr>
        <w:t xml:space="preserve"> </w:t>
      </w:r>
      <w:r w:rsidR="005A2777" w:rsidRPr="0008459D">
        <w:rPr>
          <w:rFonts w:ascii="Arial" w:hAnsi="Arial" w:cs="Arial"/>
        </w:rPr>
        <w:t xml:space="preserve">of the </w:t>
      </w:r>
      <w:r w:rsidR="005A2777">
        <w:rPr>
          <w:rFonts w:ascii="Arial" w:hAnsi="Arial" w:cs="Arial"/>
        </w:rPr>
        <w:t xml:space="preserve">full details of any restraining order and where appropriate also share these with the IDVA/other specialist agency and the probation service.  </w:t>
      </w:r>
    </w:p>
    <w:p w:rsidR="005A2777" w:rsidRDefault="005A2777" w:rsidP="005A2777">
      <w:pPr>
        <w:rPr>
          <w:rFonts w:ascii="Arial" w:hAnsi="Arial" w:cs="Arial"/>
        </w:rPr>
      </w:pPr>
    </w:p>
    <w:p w:rsidR="005A2777" w:rsidRDefault="003B3A8A" w:rsidP="005A2777">
      <w:pPr>
        <w:pStyle w:val="Default"/>
        <w:rPr>
          <w:sz w:val="22"/>
          <w:szCs w:val="22"/>
          <w:lang w:eastAsia="en-GB"/>
        </w:rPr>
      </w:pPr>
      <w:r>
        <w:rPr>
          <w:sz w:val="22"/>
          <w:szCs w:val="22"/>
        </w:rPr>
        <w:t>5</w:t>
      </w:r>
      <w:r w:rsidR="005A2777">
        <w:rPr>
          <w:sz w:val="22"/>
          <w:szCs w:val="22"/>
        </w:rPr>
        <w:t>.3</w:t>
      </w:r>
      <w:r w:rsidR="005A2777" w:rsidRPr="00246469">
        <w:rPr>
          <w:sz w:val="22"/>
          <w:szCs w:val="22"/>
        </w:rPr>
        <w:t xml:space="preserve"> A</w:t>
      </w:r>
      <w:r w:rsidR="005A2777">
        <w:rPr>
          <w:sz w:val="22"/>
          <w:szCs w:val="22"/>
        </w:rPr>
        <w:t xml:space="preserve"> </w:t>
      </w:r>
      <w:r w:rsidR="005A2777" w:rsidRPr="00246469">
        <w:rPr>
          <w:sz w:val="22"/>
          <w:szCs w:val="22"/>
        </w:rPr>
        <w:t xml:space="preserve">FMPO </w:t>
      </w:r>
      <w:r w:rsidR="005A2777" w:rsidRPr="00246469">
        <w:rPr>
          <w:sz w:val="22"/>
          <w:szCs w:val="22"/>
          <w:lang w:eastAsia="en-GB"/>
        </w:rPr>
        <w:t xml:space="preserve">is a civil remedy issued under the FM (Civil Protection) Act 2007. It offers protection to a </w:t>
      </w:r>
      <w:r w:rsidR="00F6271C">
        <w:rPr>
          <w:sz w:val="22"/>
          <w:szCs w:val="22"/>
          <w:lang w:eastAsia="en-GB"/>
        </w:rPr>
        <w:t>victim</w:t>
      </w:r>
      <w:r w:rsidR="005A2777" w:rsidRPr="00246469">
        <w:rPr>
          <w:sz w:val="22"/>
          <w:szCs w:val="22"/>
          <w:lang w:eastAsia="en-GB"/>
        </w:rPr>
        <w:t xml:space="preserve"> from all civil or religious ceremonies, by forbidding the respondent(s) themselves, or by encouraging or agreeing with any person whatsoever, from entering into any agreements in relation to the engagement or matrimony. Breach of a FMPO is now a criminal offence under s120 of the Anti-Social Behaviour, Crime and Policing Act 2014 which came into force on 16 June 2014. </w:t>
      </w:r>
      <w:r w:rsidR="005A2777">
        <w:rPr>
          <w:sz w:val="22"/>
          <w:szCs w:val="22"/>
          <w:lang w:eastAsia="en-GB"/>
        </w:rPr>
        <w:t xml:space="preserve"> </w:t>
      </w:r>
    </w:p>
    <w:p w:rsidR="005A2777" w:rsidRDefault="005A2777" w:rsidP="005A2777">
      <w:pPr>
        <w:pStyle w:val="Default"/>
        <w:rPr>
          <w:sz w:val="22"/>
          <w:szCs w:val="22"/>
          <w:lang w:eastAsia="en-GB"/>
        </w:rPr>
      </w:pPr>
    </w:p>
    <w:p w:rsidR="005A2777" w:rsidRPr="00246469" w:rsidRDefault="003B3A8A" w:rsidP="005A2777">
      <w:pPr>
        <w:pStyle w:val="Default"/>
        <w:rPr>
          <w:sz w:val="22"/>
          <w:szCs w:val="22"/>
          <w:lang w:eastAsia="en-GB"/>
        </w:rPr>
      </w:pPr>
      <w:r>
        <w:rPr>
          <w:sz w:val="22"/>
          <w:szCs w:val="22"/>
          <w:lang w:eastAsia="en-GB"/>
        </w:rPr>
        <w:t>5</w:t>
      </w:r>
      <w:r w:rsidR="005A2777">
        <w:rPr>
          <w:sz w:val="22"/>
          <w:szCs w:val="22"/>
          <w:lang w:eastAsia="en-GB"/>
        </w:rPr>
        <w:t>.4 Police should consider applying for a FMPO at the outset of an investigation</w:t>
      </w:r>
      <w:r w:rsidR="005A2777">
        <w:rPr>
          <w:rStyle w:val="FootnoteReference"/>
          <w:sz w:val="22"/>
          <w:szCs w:val="22"/>
          <w:lang w:eastAsia="en-GB"/>
        </w:rPr>
        <w:footnoteReference w:id="12"/>
      </w:r>
      <w:r w:rsidR="005A2777">
        <w:rPr>
          <w:sz w:val="22"/>
          <w:szCs w:val="22"/>
          <w:lang w:eastAsia="en-GB"/>
        </w:rPr>
        <w:t>.  Applications for FMPOs will be dealt with by the civil court; a crime does not have to be reported to start this process. Where a crime is reported and a FMPO is applied for both a civil and criminal proceeding will be taken forward.</w:t>
      </w:r>
    </w:p>
    <w:p w:rsidR="005A2777" w:rsidRPr="00721499" w:rsidRDefault="003B3A8A" w:rsidP="00D378BE">
      <w:pPr>
        <w:spacing w:before="100" w:beforeAutospacing="1" w:after="100" w:afterAutospacing="1"/>
        <w:rPr>
          <w:rFonts w:ascii="Arial" w:hAnsi="Arial" w:cs="Arial"/>
          <w:lang w:eastAsia="en-GB"/>
        </w:rPr>
      </w:pPr>
      <w:r>
        <w:rPr>
          <w:rFonts w:ascii="Arial" w:hAnsi="Arial" w:cs="Arial"/>
          <w:lang w:eastAsia="en-GB"/>
        </w:rPr>
        <w:t>5</w:t>
      </w:r>
      <w:r w:rsidR="005A2777">
        <w:rPr>
          <w:rFonts w:ascii="Arial" w:hAnsi="Arial" w:cs="Arial"/>
          <w:lang w:eastAsia="en-GB"/>
        </w:rPr>
        <w:t>.5</w:t>
      </w:r>
      <w:r w:rsidR="005A2777" w:rsidRPr="00B3532E">
        <w:rPr>
          <w:rFonts w:ascii="Arial" w:hAnsi="Arial" w:cs="Arial"/>
          <w:lang w:eastAsia="en-GB"/>
        </w:rPr>
        <w:t xml:space="preserve"> </w:t>
      </w:r>
      <w:r w:rsidR="00791C37" w:rsidRPr="00791C37">
        <w:rPr>
          <w:rFonts w:ascii="Arial" w:hAnsi="Arial" w:cs="Arial"/>
          <w:color w:val="262626"/>
        </w:rPr>
        <w:t xml:space="preserve">Breach of a FMPO can be dealt with either in a criminal court or in a civil court. If the breach has been heard in a civil court then it is not possible to prosecute the same breach through the Criminal Justice System (CJS). When the breach is dealt with in the </w:t>
      </w:r>
      <w:r w:rsidR="0046056A">
        <w:rPr>
          <w:rFonts w:ascii="Arial" w:hAnsi="Arial" w:cs="Arial"/>
          <w:color w:val="262626"/>
        </w:rPr>
        <w:t>criminal court</w:t>
      </w:r>
      <w:r w:rsidR="00791C37" w:rsidRPr="00791C37">
        <w:rPr>
          <w:rFonts w:ascii="Arial" w:hAnsi="Arial" w:cs="Arial"/>
          <w:color w:val="262626"/>
        </w:rPr>
        <w:t>, breach of the FMPO should be treated in the same way as a prosecution of any other breach of an order for example, a breach of a non-molestation order.</w:t>
      </w:r>
    </w:p>
    <w:p w:rsidR="00586A79" w:rsidRPr="00A34FFC" w:rsidRDefault="00964E3C" w:rsidP="00112178">
      <w:pPr>
        <w:pStyle w:val="Default"/>
        <w:rPr>
          <w:sz w:val="22"/>
          <w:szCs w:val="22"/>
        </w:rPr>
      </w:pPr>
      <w:bookmarkStart w:id="5" w:name="Section6"/>
      <w:r>
        <w:rPr>
          <w:b/>
          <w:bCs/>
          <w:sz w:val="22"/>
          <w:szCs w:val="22"/>
        </w:rPr>
        <w:t>6</w:t>
      </w:r>
      <w:r w:rsidR="00586A79" w:rsidRPr="00A34FFC">
        <w:rPr>
          <w:b/>
          <w:bCs/>
          <w:sz w:val="22"/>
          <w:szCs w:val="22"/>
        </w:rPr>
        <w:t>.</w:t>
      </w:r>
      <w:r w:rsidR="00586A79">
        <w:rPr>
          <w:b/>
          <w:bCs/>
          <w:sz w:val="22"/>
          <w:szCs w:val="22"/>
        </w:rPr>
        <w:t xml:space="preserve"> SECTION </w:t>
      </w:r>
      <w:r>
        <w:rPr>
          <w:b/>
          <w:bCs/>
          <w:sz w:val="22"/>
          <w:szCs w:val="22"/>
        </w:rPr>
        <w:t>6</w:t>
      </w:r>
      <w:r w:rsidR="00586A79" w:rsidRPr="00A34FFC">
        <w:rPr>
          <w:b/>
          <w:bCs/>
          <w:sz w:val="22"/>
          <w:szCs w:val="22"/>
        </w:rPr>
        <w:t xml:space="preserve"> – </w:t>
      </w:r>
      <w:r w:rsidR="00586A79">
        <w:rPr>
          <w:b/>
          <w:bCs/>
          <w:sz w:val="22"/>
          <w:szCs w:val="22"/>
        </w:rPr>
        <w:t>REFERRAL</w:t>
      </w:r>
      <w:r w:rsidR="00A64419">
        <w:rPr>
          <w:b/>
          <w:bCs/>
          <w:sz w:val="22"/>
          <w:szCs w:val="22"/>
        </w:rPr>
        <w:t xml:space="preserve">, </w:t>
      </w:r>
      <w:r w:rsidR="00586A79">
        <w:rPr>
          <w:b/>
          <w:bCs/>
          <w:sz w:val="22"/>
          <w:szCs w:val="22"/>
        </w:rPr>
        <w:t xml:space="preserve">CHARGING </w:t>
      </w:r>
      <w:r w:rsidR="00A64419">
        <w:rPr>
          <w:b/>
          <w:bCs/>
          <w:sz w:val="22"/>
          <w:szCs w:val="22"/>
        </w:rPr>
        <w:t>AND DISCLOSURE</w:t>
      </w:r>
    </w:p>
    <w:bookmarkEnd w:id="5"/>
    <w:p w:rsidR="00586A79" w:rsidRDefault="00586A79" w:rsidP="00112178">
      <w:pPr>
        <w:pStyle w:val="Default"/>
        <w:rPr>
          <w:sz w:val="22"/>
          <w:szCs w:val="22"/>
        </w:rPr>
      </w:pPr>
    </w:p>
    <w:p w:rsidR="00586A79" w:rsidRDefault="004C76F5" w:rsidP="00112178">
      <w:pPr>
        <w:pStyle w:val="Default"/>
        <w:rPr>
          <w:sz w:val="22"/>
          <w:szCs w:val="22"/>
        </w:rPr>
      </w:pPr>
      <w:r>
        <w:rPr>
          <w:sz w:val="22"/>
          <w:szCs w:val="22"/>
        </w:rPr>
        <w:t>6</w:t>
      </w:r>
      <w:r w:rsidR="00586A79" w:rsidRPr="00A34FFC">
        <w:rPr>
          <w:sz w:val="22"/>
          <w:szCs w:val="22"/>
        </w:rPr>
        <w:t xml:space="preserve">.1 To facilitate effective </w:t>
      </w:r>
      <w:r w:rsidR="00586A79">
        <w:rPr>
          <w:sz w:val="22"/>
          <w:szCs w:val="22"/>
        </w:rPr>
        <w:t>referral and charging practices</w:t>
      </w:r>
      <w:r w:rsidR="00586A79" w:rsidRPr="00A34FFC">
        <w:rPr>
          <w:sz w:val="22"/>
          <w:szCs w:val="22"/>
        </w:rPr>
        <w:t xml:space="preserve"> between the police</w:t>
      </w:r>
      <w:r w:rsidR="00586A79">
        <w:rPr>
          <w:sz w:val="22"/>
          <w:szCs w:val="22"/>
        </w:rPr>
        <w:t xml:space="preserve"> and the CPS</w:t>
      </w:r>
      <w:r w:rsidR="00586A79" w:rsidRPr="00A34FFC">
        <w:rPr>
          <w:sz w:val="22"/>
          <w:szCs w:val="22"/>
        </w:rPr>
        <w:t xml:space="preserve">, all police forces, and all CPS areas will appoint </w:t>
      </w:r>
      <w:r w:rsidR="002D0701">
        <w:rPr>
          <w:sz w:val="22"/>
          <w:szCs w:val="22"/>
        </w:rPr>
        <w:t>Leads</w:t>
      </w:r>
      <w:r w:rsidR="00586A79" w:rsidRPr="00A34FFC">
        <w:rPr>
          <w:sz w:val="22"/>
          <w:szCs w:val="22"/>
        </w:rPr>
        <w:t xml:space="preserve"> for </w:t>
      </w:r>
      <w:r w:rsidR="00247BDD">
        <w:rPr>
          <w:sz w:val="22"/>
          <w:szCs w:val="22"/>
        </w:rPr>
        <w:t>so-called</w:t>
      </w:r>
      <w:r w:rsidR="003210B1">
        <w:rPr>
          <w:sz w:val="22"/>
          <w:szCs w:val="22"/>
        </w:rPr>
        <w:t xml:space="preserve"> HBV/A</w:t>
      </w:r>
      <w:r w:rsidR="00586A79" w:rsidRPr="00A34FFC">
        <w:rPr>
          <w:sz w:val="22"/>
          <w:szCs w:val="22"/>
        </w:rPr>
        <w:t xml:space="preserve"> and FM cases. </w:t>
      </w:r>
      <w:r w:rsidR="00586A79">
        <w:rPr>
          <w:sz w:val="22"/>
          <w:szCs w:val="22"/>
        </w:rPr>
        <w:t xml:space="preserve"> </w:t>
      </w:r>
      <w:r w:rsidR="00586A79" w:rsidRPr="00A34FFC">
        <w:rPr>
          <w:sz w:val="22"/>
          <w:szCs w:val="22"/>
        </w:rPr>
        <w:t xml:space="preserve">A list of </w:t>
      </w:r>
      <w:r w:rsidR="002D0701">
        <w:rPr>
          <w:sz w:val="22"/>
          <w:szCs w:val="22"/>
        </w:rPr>
        <w:t xml:space="preserve">the Leads </w:t>
      </w:r>
      <w:r w:rsidR="00586A79" w:rsidRPr="00A34FFC">
        <w:rPr>
          <w:sz w:val="22"/>
          <w:szCs w:val="22"/>
        </w:rPr>
        <w:t>will be contained as a separate annex for police forces and the CPS which will be held with the CPS and NPCC</w:t>
      </w:r>
      <w:r w:rsidR="00586A79">
        <w:rPr>
          <w:sz w:val="22"/>
          <w:szCs w:val="22"/>
        </w:rPr>
        <w:t xml:space="preserve">, </w:t>
      </w:r>
      <w:r w:rsidR="00247BDD">
        <w:rPr>
          <w:sz w:val="22"/>
          <w:szCs w:val="22"/>
        </w:rPr>
        <w:t>so-called</w:t>
      </w:r>
      <w:r w:rsidR="003210B1">
        <w:rPr>
          <w:sz w:val="22"/>
          <w:szCs w:val="22"/>
        </w:rPr>
        <w:t xml:space="preserve"> HBV/A</w:t>
      </w:r>
      <w:r w:rsidR="00586A79" w:rsidRPr="00A34FFC">
        <w:rPr>
          <w:sz w:val="22"/>
          <w:szCs w:val="22"/>
        </w:rPr>
        <w:t xml:space="preserve"> and FM Policy Leads</w:t>
      </w:r>
      <w:r w:rsidR="00586A79">
        <w:rPr>
          <w:sz w:val="22"/>
          <w:szCs w:val="22"/>
        </w:rPr>
        <w:t xml:space="preserve">.  The police and prosecutor </w:t>
      </w:r>
      <w:r w:rsidR="002D0701">
        <w:rPr>
          <w:sz w:val="22"/>
          <w:szCs w:val="22"/>
        </w:rPr>
        <w:t xml:space="preserve">Leads </w:t>
      </w:r>
      <w:r w:rsidR="00586A79">
        <w:rPr>
          <w:sz w:val="22"/>
          <w:szCs w:val="22"/>
        </w:rPr>
        <w:t xml:space="preserve">should </w:t>
      </w:r>
      <w:r w:rsidR="00622C87">
        <w:rPr>
          <w:sz w:val="22"/>
          <w:szCs w:val="22"/>
        </w:rPr>
        <w:t>make contact</w:t>
      </w:r>
      <w:r w:rsidR="00586A79">
        <w:rPr>
          <w:sz w:val="22"/>
          <w:szCs w:val="22"/>
        </w:rPr>
        <w:t xml:space="preserve"> </w:t>
      </w:r>
      <w:r w:rsidR="00CB437A">
        <w:rPr>
          <w:sz w:val="22"/>
          <w:szCs w:val="22"/>
        </w:rPr>
        <w:t xml:space="preserve">quarterly </w:t>
      </w:r>
      <w:r w:rsidR="00586A79">
        <w:rPr>
          <w:sz w:val="22"/>
          <w:szCs w:val="22"/>
        </w:rPr>
        <w:t xml:space="preserve">to discuss: reporting, referrals, charging and; prosecutions, in relation to </w:t>
      </w:r>
      <w:r w:rsidR="00247BDD">
        <w:rPr>
          <w:sz w:val="22"/>
          <w:szCs w:val="22"/>
        </w:rPr>
        <w:t>so-called</w:t>
      </w:r>
      <w:r w:rsidR="003210B1">
        <w:rPr>
          <w:sz w:val="22"/>
          <w:szCs w:val="22"/>
        </w:rPr>
        <w:t xml:space="preserve"> HBV/</w:t>
      </w:r>
      <w:proofErr w:type="gramStart"/>
      <w:r w:rsidR="003210B1">
        <w:rPr>
          <w:sz w:val="22"/>
          <w:szCs w:val="22"/>
        </w:rPr>
        <w:t>A</w:t>
      </w:r>
      <w:r w:rsidR="00586A79">
        <w:rPr>
          <w:sz w:val="22"/>
          <w:szCs w:val="22"/>
        </w:rPr>
        <w:t xml:space="preserve"> and</w:t>
      </w:r>
      <w:proofErr w:type="gramEnd"/>
      <w:r w:rsidR="00586A79">
        <w:rPr>
          <w:sz w:val="22"/>
          <w:szCs w:val="22"/>
        </w:rPr>
        <w:t xml:space="preserve"> FM within their area.</w:t>
      </w:r>
      <w:r w:rsidR="00CB437A">
        <w:rPr>
          <w:sz w:val="22"/>
          <w:szCs w:val="22"/>
        </w:rPr>
        <w:t xml:space="preserve"> The CPS Area HBV and FM Lead will be responsible for completing the quarterly return for CPS Headquarters. </w:t>
      </w:r>
      <w:r w:rsidR="00586A79">
        <w:rPr>
          <w:sz w:val="22"/>
          <w:szCs w:val="22"/>
        </w:rPr>
        <w:t xml:space="preserve">Agencies should work together to identify opportunities in awareness raising and improving the support to </w:t>
      </w:r>
      <w:r w:rsidR="00F6271C">
        <w:rPr>
          <w:sz w:val="22"/>
          <w:szCs w:val="22"/>
        </w:rPr>
        <w:t>victim</w:t>
      </w:r>
      <w:r w:rsidR="00586A79">
        <w:rPr>
          <w:sz w:val="22"/>
          <w:szCs w:val="22"/>
        </w:rPr>
        <w:t>s and witnesses.</w:t>
      </w:r>
    </w:p>
    <w:p w:rsidR="00586A79" w:rsidRPr="009D1F9C" w:rsidRDefault="00586A79" w:rsidP="00112178">
      <w:pPr>
        <w:pStyle w:val="Default"/>
        <w:rPr>
          <w:sz w:val="22"/>
          <w:szCs w:val="22"/>
        </w:rPr>
      </w:pPr>
    </w:p>
    <w:p w:rsidR="00586A79" w:rsidRDefault="00AE06C1" w:rsidP="009D1F9C">
      <w:pPr>
        <w:pStyle w:val="Default"/>
        <w:rPr>
          <w:sz w:val="22"/>
          <w:szCs w:val="22"/>
        </w:rPr>
      </w:pPr>
      <w:r>
        <w:rPr>
          <w:sz w:val="22"/>
          <w:szCs w:val="22"/>
        </w:rPr>
        <w:t>6</w:t>
      </w:r>
      <w:r w:rsidR="00586A79" w:rsidRPr="009D1F9C">
        <w:rPr>
          <w:sz w:val="22"/>
          <w:szCs w:val="22"/>
        </w:rPr>
        <w:t xml:space="preserve">.2 </w:t>
      </w:r>
      <w:r w:rsidR="00586A79">
        <w:rPr>
          <w:sz w:val="22"/>
          <w:szCs w:val="22"/>
        </w:rPr>
        <w:t xml:space="preserve">Police and prosecutors should refer to the </w:t>
      </w:r>
      <w:hyperlink r:id="rId32" w:history="1">
        <w:r w:rsidR="00586A79" w:rsidRPr="00571FB1">
          <w:rPr>
            <w:rStyle w:val="Hyperlink"/>
            <w:rFonts w:cs="Arial"/>
            <w:sz w:val="22"/>
            <w:szCs w:val="22"/>
          </w:rPr>
          <w:t>Domestic Abuse Charging Advice Sheet</w:t>
        </w:r>
      </w:hyperlink>
      <w:r w:rsidR="00586A79">
        <w:rPr>
          <w:sz w:val="22"/>
          <w:szCs w:val="22"/>
        </w:rPr>
        <w:t xml:space="preserve"> which outlines </w:t>
      </w:r>
      <w:r w:rsidR="00586A79" w:rsidRPr="009D1F9C">
        <w:rPr>
          <w:sz w:val="22"/>
          <w:szCs w:val="22"/>
        </w:rPr>
        <w:t xml:space="preserve">existing requirements and considerations around charging decisions in domestic abuse cases as outlined in the </w:t>
      </w:r>
      <w:hyperlink r:id="rId33" w:history="1">
        <w:r w:rsidR="00586A79">
          <w:rPr>
            <w:rStyle w:val="Hyperlink"/>
            <w:rFonts w:cs="Arial"/>
            <w:sz w:val="22"/>
            <w:szCs w:val="22"/>
          </w:rPr>
          <w:t>5th Edition of the Director’s Guidance on Charging</w:t>
        </w:r>
      </w:hyperlink>
      <w:r w:rsidR="00586A79">
        <w:rPr>
          <w:rStyle w:val="Hyperlink"/>
          <w:rFonts w:cs="Arial"/>
          <w:sz w:val="22"/>
          <w:szCs w:val="22"/>
        </w:rPr>
        <w:t xml:space="preserve"> </w:t>
      </w:r>
      <w:r w:rsidR="00586A79" w:rsidRPr="00213913">
        <w:rPr>
          <w:rStyle w:val="Hyperlink"/>
          <w:rFonts w:cs="Arial"/>
          <w:color w:val="000000"/>
          <w:sz w:val="22"/>
          <w:szCs w:val="22"/>
          <w:u w:val="none"/>
        </w:rPr>
        <w:t>(and</w:t>
      </w:r>
      <w:r w:rsidR="00586A79" w:rsidRPr="00213913">
        <w:rPr>
          <w:sz w:val="22"/>
          <w:szCs w:val="22"/>
        </w:rPr>
        <w:t xml:space="preserve"> any subsequent editions).</w:t>
      </w:r>
      <w:r w:rsidR="00586A79" w:rsidRPr="005A4DFF">
        <w:t xml:space="preserve"> </w:t>
      </w:r>
      <w:r w:rsidR="00586A79">
        <w:t xml:space="preserve"> </w:t>
      </w:r>
      <w:r w:rsidR="00586A79" w:rsidRPr="009D1F9C">
        <w:rPr>
          <w:sz w:val="22"/>
          <w:szCs w:val="22"/>
        </w:rPr>
        <w:t>It should be read alongside this Charging Guidance and relevant Legal Guidance and policies developed to support effective investigations and prosecutions.</w:t>
      </w:r>
      <w:r w:rsidR="00586A79">
        <w:rPr>
          <w:sz w:val="22"/>
          <w:szCs w:val="22"/>
        </w:rPr>
        <w:t xml:space="preserve">  </w:t>
      </w:r>
    </w:p>
    <w:p w:rsidR="00586A79" w:rsidRDefault="00586A79" w:rsidP="009D1F9C">
      <w:pPr>
        <w:pStyle w:val="Default"/>
        <w:rPr>
          <w:sz w:val="22"/>
          <w:szCs w:val="22"/>
        </w:rPr>
      </w:pPr>
    </w:p>
    <w:p w:rsidR="00586A79" w:rsidRPr="0090568B" w:rsidRDefault="005E3900" w:rsidP="0090568B">
      <w:pPr>
        <w:pStyle w:val="Default"/>
        <w:rPr>
          <w:lang w:eastAsia="en-GB"/>
        </w:rPr>
      </w:pPr>
      <w:r>
        <w:rPr>
          <w:sz w:val="22"/>
          <w:szCs w:val="22"/>
        </w:rPr>
        <w:t>6</w:t>
      </w:r>
      <w:r w:rsidR="00586A79">
        <w:rPr>
          <w:sz w:val="22"/>
          <w:szCs w:val="22"/>
        </w:rPr>
        <w:t xml:space="preserve">.3 </w:t>
      </w:r>
      <w:r w:rsidR="00586A79" w:rsidRPr="0090568B">
        <w:rPr>
          <w:sz w:val="22"/>
          <w:szCs w:val="22"/>
          <w:lang w:eastAsia="en-GB"/>
        </w:rPr>
        <w:t>The CPS will make the ultimate decision as to whether an offence, which fits the definition of domestic abuse, is charged.</w:t>
      </w:r>
      <w:r w:rsidR="009E328C">
        <w:rPr>
          <w:sz w:val="22"/>
          <w:szCs w:val="22"/>
          <w:lang w:eastAsia="en-GB"/>
        </w:rPr>
        <w:t xml:space="preserve">  When considering the appropriateness of the charge, prosecutors should consider the totality of the </w:t>
      </w:r>
      <w:r w:rsidR="006839B5">
        <w:rPr>
          <w:sz w:val="22"/>
          <w:szCs w:val="22"/>
          <w:lang w:eastAsia="en-GB"/>
        </w:rPr>
        <w:t>suspect’s</w:t>
      </w:r>
      <w:r w:rsidR="009E328C">
        <w:rPr>
          <w:sz w:val="22"/>
          <w:szCs w:val="22"/>
          <w:lang w:eastAsia="en-GB"/>
        </w:rPr>
        <w:t xml:space="preserve"> offending.</w:t>
      </w:r>
      <w:r w:rsidR="00586A79" w:rsidRPr="0090568B">
        <w:rPr>
          <w:sz w:val="22"/>
          <w:szCs w:val="22"/>
          <w:lang w:eastAsia="en-GB"/>
        </w:rPr>
        <w:t xml:space="preserve"> </w:t>
      </w:r>
      <w:r w:rsidR="00586A79">
        <w:rPr>
          <w:sz w:val="22"/>
          <w:szCs w:val="22"/>
          <w:lang w:eastAsia="en-GB"/>
        </w:rPr>
        <w:t>However t</w:t>
      </w:r>
      <w:r w:rsidR="00586A79" w:rsidRPr="0090568B">
        <w:rPr>
          <w:sz w:val="22"/>
          <w:szCs w:val="22"/>
        </w:rPr>
        <w:t xml:space="preserve">he assessment of the evidence on the basis of the Threshold Test </w:t>
      </w:r>
      <w:r w:rsidR="00586A79" w:rsidRPr="00C9421C">
        <w:rPr>
          <w:i/>
          <w:iCs/>
          <w:sz w:val="22"/>
          <w:szCs w:val="22"/>
        </w:rPr>
        <w:t>must only</w:t>
      </w:r>
      <w:r w:rsidR="00586A79" w:rsidRPr="0090568B">
        <w:rPr>
          <w:i/>
          <w:iCs/>
          <w:sz w:val="22"/>
          <w:szCs w:val="22"/>
        </w:rPr>
        <w:t xml:space="preserve"> </w:t>
      </w:r>
      <w:r w:rsidR="00586A79">
        <w:rPr>
          <w:sz w:val="22"/>
          <w:szCs w:val="22"/>
        </w:rPr>
        <w:t>be made by a</w:t>
      </w:r>
      <w:r w:rsidR="00586A79" w:rsidRPr="0090568B">
        <w:rPr>
          <w:sz w:val="22"/>
          <w:szCs w:val="22"/>
        </w:rPr>
        <w:t xml:space="preserve"> police decision maker when the suspect is </w:t>
      </w:r>
      <w:r w:rsidR="00586A79" w:rsidRPr="0090568B">
        <w:rPr>
          <w:i/>
          <w:iCs/>
          <w:sz w:val="22"/>
          <w:szCs w:val="22"/>
        </w:rPr>
        <w:t xml:space="preserve">not suitable for bail </w:t>
      </w:r>
      <w:r w:rsidR="00586A79" w:rsidRPr="0090568B">
        <w:rPr>
          <w:sz w:val="22"/>
          <w:szCs w:val="22"/>
        </w:rPr>
        <w:t xml:space="preserve">and </w:t>
      </w:r>
      <w:r w:rsidR="00586A79" w:rsidRPr="0090568B">
        <w:rPr>
          <w:i/>
          <w:iCs/>
          <w:sz w:val="22"/>
          <w:szCs w:val="22"/>
        </w:rPr>
        <w:t xml:space="preserve">not all the evidence </w:t>
      </w:r>
      <w:r w:rsidR="00586A79" w:rsidRPr="0090568B">
        <w:rPr>
          <w:sz w:val="22"/>
          <w:szCs w:val="22"/>
        </w:rPr>
        <w:t xml:space="preserve">is available at the time when they must be released from custody unless charged. </w:t>
      </w:r>
      <w:r w:rsidR="00586A79">
        <w:rPr>
          <w:sz w:val="22"/>
          <w:szCs w:val="22"/>
        </w:rPr>
        <w:t xml:space="preserve"> </w:t>
      </w:r>
    </w:p>
    <w:p w:rsidR="00586A79" w:rsidRDefault="00586A79" w:rsidP="00F71F66">
      <w:pPr>
        <w:pStyle w:val="Default"/>
        <w:rPr>
          <w:sz w:val="22"/>
          <w:szCs w:val="22"/>
          <w:lang w:eastAsia="en-GB"/>
        </w:rPr>
      </w:pPr>
    </w:p>
    <w:p w:rsidR="00586A79" w:rsidRPr="0090568B" w:rsidRDefault="00B16B2C" w:rsidP="00F71F66">
      <w:pPr>
        <w:pStyle w:val="Default"/>
      </w:pPr>
      <w:r>
        <w:rPr>
          <w:sz w:val="22"/>
          <w:szCs w:val="22"/>
          <w:lang w:eastAsia="en-GB"/>
        </w:rPr>
        <w:t>6</w:t>
      </w:r>
      <w:r w:rsidR="00586A79">
        <w:rPr>
          <w:sz w:val="22"/>
          <w:szCs w:val="22"/>
          <w:lang w:eastAsia="en-GB"/>
        </w:rPr>
        <w:t xml:space="preserve">.4 </w:t>
      </w:r>
      <w:r w:rsidR="00EB573E">
        <w:rPr>
          <w:sz w:val="22"/>
          <w:szCs w:val="22"/>
        </w:rPr>
        <w:t xml:space="preserve">In all cases, including </w:t>
      </w:r>
      <w:r w:rsidR="00586A79">
        <w:rPr>
          <w:sz w:val="22"/>
          <w:szCs w:val="22"/>
        </w:rPr>
        <w:t>those where it is intended to remand the suspect in</w:t>
      </w:r>
      <w:r w:rsidR="00153281">
        <w:rPr>
          <w:sz w:val="22"/>
          <w:szCs w:val="22"/>
        </w:rPr>
        <w:t>to</w:t>
      </w:r>
      <w:r w:rsidR="00586A79">
        <w:rPr>
          <w:sz w:val="22"/>
          <w:szCs w:val="22"/>
        </w:rPr>
        <w:t xml:space="preserve"> custody</w:t>
      </w:r>
      <w:r w:rsidR="00EB573E">
        <w:rPr>
          <w:sz w:val="22"/>
          <w:szCs w:val="22"/>
        </w:rPr>
        <w:t>,</w:t>
      </w:r>
      <w:r w:rsidR="00586A79">
        <w:rPr>
          <w:sz w:val="22"/>
          <w:szCs w:val="22"/>
        </w:rPr>
        <w:t xml:space="preserve"> the supervising officer must assess the available evidence to determine if the Full Code Test can be met.  </w:t>
      </w:r>
      <w:r w:rsidR="00586A79" w:rsidRPr="0090568B">
        <w:rPr>
          <w:sz w:val="22"/>
          <w:szCs w:val="22"/>
          <w:lang w:eastAsia="en-GB"/>
        </w:rPr>
        <w:t>In cases where the evidential stage is met, but the police consider that it is not in the public interest to prosecute, the case must still be referred to the CPS to make the ultimate decision.</w:t>
      </w:r>
      <w:r w:rsidR="00586A79">
        <w:t xml:space="preserve">  </w:t>
      </w:r>
      <w:r w:rsidR="00586A79" w:rsidRPr="00F71F66">
        <w:rPr>
          <w:sz w:val="22"/>
          <w:szCs w:val="22"/>
        </w:rPr>
        <w:t>Therefore, police decision makers must be satisfied that there is sufficient evidence for a realistic prospect of conviction before referring a case for a charging decision.</w:t>
      </w:r>
      <w:r w:rsidR="00586A79">
        <w:rPr>
          <w:sz w:val="22"/>
          <w:szCs w:val="22"/>
        </w:rPr>
        <w:t xml:space="preserve">  </w:t>
      </w:r>
    </w:p>
    <w:p w:rsidR="00586A79" w:rsidRDefault="00586A79" w:rsidP="009D1F9C">
      <w:pPr>
        <w:pStyle w:val="Default"/>
        <w:rPr>
          <w:sz w:val="22"/>
          <w:szCs w:val="22"/>
        </w:rPr>
      </w:pPr>
    </w:p>
    <w:p w:rsidR="00586A79" w:rsidRDefault="00B16B2C" w:rsidP="009D1F9C">
      <w:pPr>
        <w:pStyle w:val="Default"/>
        <w:rPr>
          <w:sz w:val="22"/>
          <w:szCs w:val="22"/>
        </w:rPr>
      </w:pPr>
      <w:r>
        <w:rPr>
          <w:sz w:val="22"/>
          <w:szCs w:val="22"/>
        </w:rPr>
        <w:t>6</w:t>
      </w:r>
      <w:r w:rsidR="00586A79">
        <w:rPr>
          <w:sz w:val="22"/>
          <w:szCs w:val="22"/>
        </w:rPr>
        <w:t>.5 When submitting a case for a charging decision based on the Full Code Test only files that have been confirmed as meeting the required standard by an appropriate accredited supervisor will be accepted by the CPS.  All cases not meeting this</w:t>
      </w:r>
      <w:r w:rsidR="0022264F">
        <w:rPr>
          <w:sz w:val="22"/>
          <w:szCs w:val="22"/>
        </w:rPr>
        <w:t xml:space="preserve"> standard will be owned by the p</w:t>
      </w:r>
      <w:r w:rsidR="00586A79">
        <w:rPr>
          <w:sz w:val="22"/>
          <w:szCs w:val="22"/>
        </w:rPr>
        <w:t xml:space="preserve">olice who will be responsible for any decision to take no further action. </w:t>
      </w:r>
    </w:p>
    <w:p w:rsidR="00586A79" w:rsidRDefault="00B16B2C" w:rsidP="00F71F66">
      <w:pPr>
        <w:pStyle w:val="NormalWeb"/>
        <w:rPr>
          <w:rFonts w:ascii="Arial" w:hAnsi="Arial" w:cs="Arial"/>
          <w:sz w:val="22"/>
          <w:szCs w:val="22"/>
        </w:rPr>
      </w:pPr>
      <w:r>
        <w:rPr>
          <w:rFonts w:ascii="Arial" w:hAnsi="Arial" w:cs="Arial"/>
          <w:sz w:val="22"/>
          <w:szCs w:val="22"/>
        </w:rPr>
        <w:t>6</w:t>
      </w:r>
      <w:r w:rsidR="00586A79">
        <w:rPr>
          <w:rFonts w:ascii="Arial" w:hAnsi="Arial" w:cs="Arial"/>
          <w:sz w:val="22"/>
          <w:szCs w:val="22"/>
        </w:rPr>
        <w:t>.6 T</w:t>
      </w:r>
      <w:r w:rsidR="00586A79" w:rsidRPr="00F71F66">
        <w:rPr>
          <w:rFonts w:ascii="Arial" w:hAnsi="Arial" w:cs="Arial"/>
          <w:sz w:val="22"/>
          <w:szCs w:val="22"/>
        </w:rPr>
        <w:t xml:space="preserve">he CPS will review all police charged cases prior to the first hearing in accordance with their duty under the </w:t>
      </w:r>
      <w:hyperlink r:id="rId34" w:history="1">
        <w:r w:rsidR="00586A79">
          <w:rPr>
            <w:rStyle w:val="Hyperlink"/>
            <w:rFonts w:ascii="Arial" w:hAnsi="Arial" w:cs="Arial"/>
            <w:sz w:val="22"/>
            <w:szCs w:val="22"/>
          </w:rPr>
          <w:t>Code for Crown Prosecutors.</w:t>
        </w:r>
      </w:hyperlink>
      <w:r w:rsidR="00586A79">
        <w:rPr>
          <w:rFonts w:ascii="Arial" w:hAnsi="Arial" w:cs="Arial"/>
          <w:sz w:val="22"/>
          <w:szCs w:val="22"/>
        </w:rPr>
        <w:t xml:space="preserve">  </w:t>
      </w:r>
      <w:r w:rsidR="00586A79" w:rsidRPr="00F71F66">
        <w:rPr>
          <w:rFonts w:ascii="Arial" w:hAnsi="Arial" w:cs="Arial"/>
          <w:sz w:val="22"/>
          <w:szCs w:val="22"/>
        </w:rPr>
        <w:t xml:space="preserve">Where it appears that the police have charged a case not permitted by </w:t>
      </w:r>
      <w:r w:rsidR="00586A79" w:rsidRPr="00E27FB8">
        <w:rPr>
          <w:rFonts w:ascii="Arial" w:hAnsi="Arial" w:cs="Arial"/>
          <w:sz w:val="22"/>
          <w:szCs w:val="22"/>
        </w:rPr>
        <w:t>the Director’s Guidance on Charging,</w:t>
      </w:r>
      <w:r w:rsidR="00586A79" w:rsidRPr="00F71F66">
        <w:rPr>
          <w:rFonts w:ascii="Arial" w:hAnsi="Arial" w:cs="Arial"/>
          <w:sz w:val="22"/>
          <w:szCs w:val="22"/>
        </w:rPr>
        <w:t xml:space="preserve"> the reviewing prosecutor must consider whether the evidence and material available at that time fully meets the Threshold Test or Full Code Test relevant to the circumstances of the case. </w:t>
      </w:r>
    </w:p>
    <w:p w:rsidR="00CD5387" w:rsidRPr="00F71F66" w:rsidRDefault="00B16B2C" w:rsidP="00F71F66">
      <w:pPr>
        <w:pStyle w:val="NormalWeb"/>
        <w:rPr>
          <w:rFonts w:ascii="Arial" w:hAnsi="Arial" w:cs="Arial"/>
          <w:sz w:val="22"/>
          <w:szCs w:val="22"/>
        </w:rPr>
      </w:pPr>
      <w:r>
        <w:rPr>
          <w:rFonts w:ascii="Arial" w:hAnsi="Arial" w:cs="Arial"/>
          <w:sz w:val="22"/>
          <w:szCs w:val="22"/>
        </w:rPr>
        <w:t>6</w:t>
      </w:r>
      <w:r w:rsidR="00CD5387">
        <w:rPr>
          <w:rFonts w:ascii="Arial" w:hAnsi="Arial" w:cs="Arial"/>
          <w:sz w:val="22"/>
          <w:szCs w:val="22"/>
        </w:rPr>
        <w:t xml:space="preserve">.7 Where a decision is taken not to charge, the police should inform the </w:t>
      </w:r>
      <w:r w:rsidR="003013D7">
        <w:rPr>
          <w:rFonts w:ascii="Arial" w:hAnsi="Arial" w:cs="Arial"/>
          <w:sz w:val="22"/>
          <w:szCs w:val="22"/>
        </w:rPr>
        <w:t>complainant</w:t>
      </w:r>
      <w:r w:rsidR="00CD5387">
        <w:rPr>
          <w:rFonts w:ascii="Arial" w:hAnsi="Arial" w:cs="Arial"/>
          <w:sz w:val="22"/>
          <w:szCs w:val="22"/>
        </w:rPr>
        <w:t xml:space="preserve"> directly or </w:t>
      </w:r>
      <w:r w:rsidR="00CD5387" w:rsidRPr="00CD5387">
        <w:rPr>
          <w:rFonts w:ascii="Arial" w:hAnsi="Arial" w:cs="Arial"/>
          <w:sz w:val="22"/>
          <w:szCs w:val="22"/>
        </w:rPr>
        <w:t>indirectly through an interpreter/an appointed person e.g. an</w:t>
      </w:r>
      <w:r w:rsidR="003112ED">
        <w:rPr>
          <w:rFonts w:ascii="Arial" w:hAnsi="Arial" w:cs="Arial"/>
          <w:sz w:val="22"/>
          <w:szCs w:val="22"/>
        </w:rPr>
        <w:t xml:space="preserve"> </w:t>
      </w:r>
      <w:r w:rsidR="003112ED" w:rsidRPr="003112ED">
        <w:rPr>
          <w:rFonts w:ascii="Arial" w:hAnsi="Arial" w:cs="Arial"/>
          <w:sz w:val="22"/>
          <w:szCs w:val="22"/>
        </w:rPr>
        <w:t>Independent Domestic Violence Advisor</w:t>
      </w:r>
      <w:r w:rsidR="00CD5387" w:rsidRPr="003112ED">
        <w:rPr>
          <w:rFonts w:ascii="Arial" w:hAnsi="Arial" w:cs="Arial"/>
          <w:sz w:val="22"/>
          <w:szCs w:val="22"/>
        </w:rPr>
        <w:t xml:space="preserve"> </w:t>
      </w:r>
      <w:r w:rsidR="003112ED">
        <w:rPr>
          <w:rFonts w:ascii="Arial" w:hAnsi="Arial" w:cs="Arial"/>
          <w:sz w:val="22"/>
          <w:szCs w:val="22"/>
        </w:rPr>
        <w:t>(</w:t>
      </w:r>
      <w:r w:rsidR="00CD5387" w:rsidRPr="00CD5387">
        <w:rPr>
          <w:rFonts w:ascii="Arial" w:hAnsi="Arial" w:cs="Arial"/>
          <w:sz w:val="22"/>
          <w:szCs w:val="22"/>
        </w:rPr>
        <w:t>IDVA</w:t>
      </w:r>
      <w:r w:rsidR="003112ED">
        <w:rPr>
          <w:rFonts w:ascii="Arial" w:hAnsi="Arial" w:cs="Arial"/>
          <w:sz w:val="22"/>
          <w:szCs w:val="22"/>
        </w:rPr>
        <w:t>)</w:t>
      </w:r>
      <w:r w:rsidR="00CD5387" w:rsidRPr="00CD5387">
        <w:rPr>
          <w:rFonts w:ascii="Arial" w:hAnsi="Arial" w:cs="Arial"/>
          <w:sz w:val="22"/>
          <w:szCs w:val="22"/>
        </w:rPr>
        <w:t>, to explain the issues surrounding the decision</w:t>
      </w:r>
      <w:r w:rsidR="00CD5387">
        <w:rPr>
          <w:rFonts w:ascii="Arial" w:hAnsi="Arial" w:cs="Arial"/>
          <w:sz w:val="22"/>
          <w:szCs w:val="22"/>
        </w:rPr>
        <w:t>.</w:t>
      </w:r>
    </w:p>
    <w:p w:rsidR="00586A79" w:rsidRPr="00012773" w:rsidRDefault="00B16B2C" w:rsidP="00112178">
      <w:pPr>
        <w:pStyle w:val="Default"/>
        <w:rPr>
          <w:sz w:val="22"/>
          <w:szCs w:val="22"/>
        </w:rPr>
      </w:pPr>
      <w:r>
        <w:rPr>
          <w:sz w:val="22"/>
          <w:szCs w:val="22"/>
        </w:rPr>
        <w:t>6</w:t>
      </w:r>
      <w:r w:rsidR="00586A79" w:rsidRPr="00012773">
        <w:rPr>
          <w:sz w:val="22"/>
          <w:szCs w:val="22"/>
        </w:rPr>
        <w:t>.</w:t>
      </w:r>
      <w:r w:rsidR="00CD5387">
        <w:rPr>
          <w:sz w:val="22"/>
          <w:szCs w:val="22"/>
        </w:rPr>
        <w:t>8</w:t>
      </w:r>
      <w:r w:rsidR="00586A79" w:rsidRPr="00012773">
        <w:rPr>
          <w:sz w:val="22"/>
          <w:szCs w:val="22"/>
        </w:rPr>
        <w:t xml:space="preserve"> Prosecutors will ensure:</w:t>
      </w:r>
    </w:p>
    <w:p w:rsidR="00586A79" w:rsidRPr="00012773" w:rsidRDefault="00586A79" w:rsidP="00012773">
      <w:pPr>
        <w:pStyle w:val="Default"/>
        <w:numPr>
          <w:ilvl w:val="0"/>
          <w:numId w:val="35"/>
        </w:numPr>
        <w:rPr>
          <w:sz w:val="22"/>
          <w:szCs w:val="22"/>
        </w:rPr>
      </w:pPr>
      <w:r w:rsidRPr="00012773">
        <w:rPr>
          <w:sz w:val="22"/>
          <w:szCs w:val="22"/>
        </w:rPr>
        <w:t xml:space="preserve">The DASH has been applied by the police, and used to inform decisions regarding bail or remand </w:t>
      </w:r>
      <w:r>
        <w:rPr>
          <w:sz w:val="22"/>
          <w:szCs w:val="22"/>
        </w:rPr>
        <w:t>as well as</w:t>
      </w:r>
      <w:r w:rsidRPr="00012773">
        <w:rPr>
          <w:sz w:val="22"/>
          <w:szCs w:val="22"/>
        </w:rPr>
        <w:t xml:space="preserve"> to inform safeguarding plans in relation to the </w:t>
      </w:r>
      <w:r w:rsidR="003013D7">
        <w:rPr>
          <w:sz w:val="22"/>
          <w:szCs w:val="22"/>
        </w:rPr>
        <w:t>complainant</w:t>
      </w:r>
      <w:r>
        <w:rPr>
          <w:sz w:val="22"/>
          <w:szCs w:val="22"/>
        </w:rPr>
        <w:t>.</w:t>
      </w:r>
      <w:r w:rsidRPr="00012773">
        <w:rPr>
          <w:sz w:val="22"/>
          <w:szCs w:val="22"/>
        </w:rPr>
        <w:t xml:space="preserve"> </w:t>
      </w:r>
    </w:p>
    <w:p w:rsidR="00586A79" w:rsidRPr="00012773" w:rsidRDefault="000E6554" w:rsidP="00012773">
      <w:pPr>
        <w:pStyle w:val="Default"/>
        <w:numPr>
          <w:ilvl w:val="0"/>
          <w:numId w:val="35"/>
        </w:numPr>
        <w:rPr>
          <w:sz w:val="22"/>
          <w:szCs w:val="22"/>
        </w:rPr>
      </w:pPr>
      <w:r>
        <w:rPr>
          <w:sz w:val="22"/>
          <w:szCs w:val="22"/>
        </w:rPr>
        <w:t>The</w:t>
      </w:r>
      <w:r w:rsidR="00586A79" w:rsidRPr="00012773">
        <w:rPr>
          <w:sz w:val="22"/>
          <w:szCs w:val="22"/>
        </w:rPr>
        <w:t xml:space="preserve"> domestic abuse Joint NPCC and CPS Evidence Gathering Checklist has been completed.</w:t>
      </w:r>
    </w:p>
    <w:p w:rsidR="00586A79" w:rsidRDefault="00586A79" w:rsidP="0005218B">
      <w:pPr>
        <w:pStyle w:val="Default"/>
        <w:numPr>
          <w:ilvl w:val="0"/>
          <w:numId w:val="35"/>
        </w:numPr>
        <w:rPr>
          <w:sz w:val="22"/>
          <w:szCs w:val="22"/>
        </w:rPr>
      </w:pPr>
      <w:r w:rsidRPr="00012773">
        <w:rPr>
          <w:sz w:val="22"/>
          <w:szCs w:val="22"/>
        </w:rPr>
        <w:t xml:space="preserve">The MG3s contains a full record of the decisions taken with reasons for those decisions. </w:t>
      </w:r>
    </w:p>
    <w:p w:rsidR="00586A79" w:rsidRDefault="00586A79" w:rsidP="0005218B">
      <w:pPr>
        <w:pStyle w:val="Default"/>
        <w:numPr>
          <w:ilvl w:val="0"/>
          <w:numId w:val="35"/>
        </w:numPr>
        <w:rPr>
          <w:sz w:val="22"/>
          <w:szCs w:val="22"/>
        </w:rPr>
      </w:pPr>
      <w:r w:rsidRPr="00012773">
        <w:rPr>
          <w:sz w:val="22"/>
          <w:szCs w:val="22"/>
        </w:rPr>
        <w:t>Every MG3 contain</w:t>
      </w:r>
      <w:r>
        <w:rPr>
          <w:sz w:val="22"/>
          <w:szCs w:val="22"/>
        </w:rPr>
        <w:t>s</w:t>
      </w:r>
      <w:r w:rsidRPr="00012773">
        <w:rPr>
          <w:sz w:val="22"/>
          <w:szCs w:val="22"/>
        </w:rPr>
        <w:t xml:space="preserve"> an Action Plan </w:t>
      </w:r>
      <w:r>
        <w:rPr>
          <w:sz w:val="22"/>
          <w:szCs w:val="22"/>
        </w:rPr>
        <w:t>(</w:t>
      </w:r>
      <w:r w:rsidRPr="00012773">
        <w:rPr>
          <w:sz w:val="22"/>
          <w:szCs w:val="22"/>
        </w:rPr>
        <w:t>unless there is no additional or outstanding work required from the police</w:t>
      </w:r>
      <w:r>
        <w:rPr>
          <w:sz w:val="22"/>
          <w:szCs w:val="22"/>
        </w:rPr>
        <w:t>)</w:t>
      </w:r>
      <w:r w:rsidRPr="00012773">
        <w:rPr>
          <w:sz w:val="22"/>
          <w:szCs w:val="22"/>
        </w:rPr>
        <w:t xml:space="preserve">. </w:t>
      </w:r>
      <w:r>
        <w:rPr>
          <w:sz w:val="22"/>
          <w:szCs w:val="22"/>
        </w:rPr>
        <w:t>D</w:t>
      </w:r>
      <w:r w:rsidRPr="00012773">
        <w:rPr>
          <w:sz w:val="22"/>
          <w:szCs w:val="22"/>
        </w:rPr>
        <w:t>ates will be agreed between the police</w:t>
      </w:r>
      <w:r w:rsidR="0022264F">
        <w:rPr>
          <w:sz w:val="22"/>
          <w:szCs w:val="22"/>
        </w:rPr>
        <w:t xml:space="preserve"> and the CPS</w:t>
      </w:r>
      <w:r w:rsidRPr="00012773">
        <w:rPr>
          <w:sz w:val="22"/>
          <w:szCs w:val="22"/>
        </w:rPr>
        <w:t xml:space="preserve"> on the </w:t>
      </w:r>
      <w:r>
        <w:rPr>
          <w:sz w:val="22"/>
          <w:szCs w:val="22"/>
        </w:rPr>
        <w:t xml:space="preserve">Action </w:t>
      </w:r>
      <w:r w:rsidRPr="00012773">
        <w:rPr>
          <w:sz w:val="22"/>
          <w:szCs w:val="22"/>
        </w:rPr>
        <w:t xml:space="preserve">Plan. </w:t>
      </w:r>
    </w:p>
    <w:p w:rsidR="00CB236D" w:rsidRDefault="00CB236D" w:rsidP="00CB236D">
      <w:pPr>
        <w:pStyle w:val="Default"/>
        <w:rPr>
          <w:sz w:val="22"/>
          <w:szCs w:val="22"/>
        </w:rPr>
      </w:pPr>
    </w:p>
    <w:p w:rsidR="00CB236D" w:rsidRPr="00EA56BB" w:rsidRDefault="00CB236D" w:rsidP="00CB236D">
      <w:pPr>
        <w:pStyle w:val="Default"/>
        <w:rPr>
          <w:bCs/>
          <w:sz w:val="22"/>
          <w:szCs w:val="22"/>
        </w:rPr>
      </w:pPr>
      <w:r>
        <w:rPr>
          <w:sz w:val="22"/>
          <w:szCs w:val="22"/>
        </w:rPr>
        <w:t xml:space="preserve">6.9 </w:t>
      </w:r>
      <w:r w:rsidRPr="00EA56BB">
        <w:rPr>
          <w:bCs/>
          <w:sz w:val="22"/>
          <w:szCs w:val="22"/>
        </w:rPr>
        <w:t xml:space="preserve">Reasons for delays in obtaining further information and evidence should also be notified to the CPS. Where relevant, the CPS will elevate actions to more senior officers to expedite. </w:t>
      </w:r>
    </w:p>
    <w:p w:rsidR="00586A79" w:rsidRDefault="00586A79" w:rsidP="00417EEF">
      <w:pPr>
        <w:rPr>
          <w:rFonts w:ascii="Arial" w:hAnsi="Arial" w:cs="Arial"/>
        </w:rPr>
      </w:pPr>
    </w:p>
    <w:p w:rsidR="00586A79" w:rsidRPr="000E5AF9" w:rsidRDefault="00B16B2C" w:rsidP="00AC079E">
      <w:pPr>
        <w:pStyle w:val="Default"/>
        <w:rPr>
          <w:sz w:val="22"/>
          <w:szCs w:val="22"/>
        </w:rPr>
      </w:pPr>
      <w:r>
        <w:rPr>
          <w:sz w:val="22"/>
          <w:szCs w:val="22"/>
        </w:rPr>
        <w:t>6</w:t>
      </w:r>
      <w:r w:rsidR="00586A79" w:rsidRPr="000E5AF9">
        <w:rPr>
          <w:sz w:val="22"/>
          <w:szCs w:val="22"/>
        </w:rPr>
        <w:t>.</w:t>
      </w:r>
      <w:r w:rsidR="00CB236D">
        <w:rPr>
          <w:sz w:val="22"/>
          <w:szCs w:val="22"/>
        </w:rPr>
        <w:t>10</w:t>
      </w:r>
      <w:r w:rsidR="00586A79" w:rsidRPr="000E5AF9">
        <w:rPr>
          <w:sz w:val="22"/>
          <w:szCs w:val="22"/>
        </w:rPr>
        <w:t xml:space="preserve"> With the exception of charging decisions taken by CPS Direct, charging decisions in</w:t>
      </w:r>
      <w:r w:rsidR="00586A79">
        <w:rPr>
          <w:sz w:val="22"/>
          <w:szCs w:val="22"/>
        </w:rPr>
        <w:t xml:space="preserve"> </w:t>
      </w:r>
      <w:r w:rsidR="00247BDD">
        <w:rPr>
          <w:sz w:val="22"/>
          <w:szCs w:val="22"/>
        </w:rPr>
        <w:t>so-called</w:t>
      </w:r>
      <w:r w:rsidR="003210B1">
        <w:rPr>
          <w:sz w:val="22"/>
          <w:szCs w:val="22"/>
        </w:rPr>
        <w:t xml:space="preserve"> HBV/A</w:t>
      </w:r>
      <w:r w:rsidR="00586A79">
        <w:rPr>
          <w:sz w:val="22"/>
          <w:szCs w:val="22"/>
        </w:rPr>
        <w:t xml:space="preserve"> and FM cases in which </w:t>
      </w:r>
      <w:r w:rsidR="00586A79" w:rsidRPr="000E5AF9">
        <w:rPr>
          <w:sz w:val="22"/>
          <w:szCs w:val="22"/>
        </w:rPr>
        <w:t>rape</w:t>
      </w:r>
      <w:r w:rsidR="00586A79">
        <w:rPr>
          <w:sz w:val="22"/>
          <w:szCs w:val="22"/>
        </w:rPr>
        <w:t xml:space="preserve"> has been perpetrated </w:t>
      </w:r>
      <w:r w:rsidR="00586A79" w:rsidRPr="000E5AF9">
        <w:rPr>
          <w:sz w:val="22"/>
          <w:szCs w:val="22"/>
        </w:rPr>
        <w:t xml:space="preserve">will always </w:t>
      </w:r>
      <w:r w:rsidR="00586A79">
        <w:rPr>
          <w:sz w:val="22"/>
          <w:szCs w:val="22"/>
        </w:rPr>
        <w:t xml:space="preserve">need to </w:t>
      </w:r>
      <w:r w:rsidR="00586A79" w:rsidRPr="000E5AF9">
        <w:rPr>
          <w:sz w:val="22"/>
          <w:szCs w:val="22"/>
        </w:rPr>
        <w:t xml:space="preserve">be made by Area-based prosecutors in </w:t>
      </w:r>
      <w:r w:rsidR="00CF7F54">
        <w:rPr>
          <w:sz w:val="22"/>
          <w:szCs w:val="22"/>
        </w:rPr>
        <w:t xml:space="preserve">Rape and Serious Sexual Offence </w:t>
      </w:r>
      <w:r w:rsidR="00586A79" w:rsidRPr="000E5AF9">
        <w:rPr>
          <w:sz w:val="22"/>
          <w:szCs w:val="22"/>
        </w:rPr>
        <w:t>Units. Where a charging decision is made by CPS Direct, any MG3 m</w:t>
      </w:r>
      <w:r w:rsidR="008275AD">
        <w:rPr>
          <w:sz w:val="22"/>
          <w:szCs w:val="22"/>
        </w:rPr>
        <w:t>ust contain an action that the p</w:t>
      </w:r>
      <w:r w:rsidR="00586A79" w:rsidRPr="000E5AF9">
        <w:rPr>
          <w:sz w:val="22"/>
          <w:szCs w:val="22"/>
        </w:rPr>
        <w:t xml:space="preserve">olice contact the local rape specialist within </w:t>
      </w:r>
      <w:r w:rsidR="00586A79">
        <w:rPr>
          <w:sz w:val="22"/>
          <w:szCs w:val="22"/>
        </w:rPr>
        <w:t>three</w:t>
      </w:r>
      <w:r w:rsidR="00586A79" w:rsidRPr="000E5AF9">
        <w:rPr>
          <w:sz w:val="22"/>
          <w:szCs w:val="22"/>
        </w:rPr>
        <w:t xml:space="preserve"> working days to make an appointment for a consultation.</w:t>
      </w:r>
    </w:p>
    <w:p w:rsidR="00586A79" w:rsidRDefault="00586A79" w:rsidP="00417EEF">
      <w:pPr>
        <w:rPr>
          <w:rFonts w:ascii="Arial" w:hAnsi="Arial" w:cs="Arial"/>
          <w:b/>
          <w:i/>
        </w:rPr>
      </w:pPr>
    </w:p>
    <w:p w:rsidR="00586A79" w:rsidRDefault="00B16B2C" w:rsidP="00417EEF">
      <w:pPr>
        <w:rPr>
          <w:rFonts w:ascii="Arial" w:hAnsi="Arial" w:cs="Arial"/>
        </w:rPr>
      </w:pPr>
      <w:r>
        <w:rPr>
          <w:rFonts w:ascii="Arial" w:hAnsi="Arial" w:cs="Arial"/>
        </w:rPr>
        <w:t>6</w:t>
      </w:r>
      <w:r w:rsidR="00586A79" w:rsidRPr="00C27363">
        <w:rPr>
          <w:rFonts w:ascii="Arial" w:hAnsi="Arial" w:cs="Arial"/>
        </w:rPr>
        <w:t>.</w:t>
      </w:r>
      <w:r w:rsidR="00CB236D">
        <w:rPr>
          <w:rFonts w:ascii="Arial" w:hAnsi="Arial" w:cs="Arial"/>
        </w:rPr>
        <w:t>11</w:t>
      </w:r>
      <w:r w:rsidR="00586A79">
        <w:rPr>
          <w:rFonts w:ascii="Arial" w:hAnsi="Arial" w:cs="Arial"/>
        </w:rPr>
        <w:t xml:space="preserve"> The police should refer to the cautions section within the </w:t>
      </w:r>
      <w:hyperlink r:id="rId35" w:anchor="cautions" w:history="1">
        <w:r w:rsidR="00586A79">
          <w:rPr>
            <w:rStyle w:val="Hyperlink"/>
            <w:rFonts w:ascii="Arial" w:hAnsi="Arial" w:cs="Arial"/>
          </w:rPr>
          <w:t xml:space="preserve">College of Policing Domestic Abuse Authorised Professional Practice (APP). </w:t>
        </w:r>
      </w:hyperlink>
      <w:r w:rsidR="00586A79">
        <w:rPr>
          <w:rFonts w:ascii="Arial" w:hAnsi="Arial" w:cs="Arial"/>
        </w:rPr>
        <w:t xml:space="preserve"> </w:t>
      </w:r>
    </w:p>
    <w:p w:rsidR="00586A79" w:rsidRPr="00C27363" w:rsidRDefault="00586A79" w:rsidP="00417EEF">
      <w:pPr>
        <w:rPr>
          <w:rFonts w:ascii="Arial" w:hAnsi="Arial" w:cs="Arial"/>
        </w:rPr>
      </w:pPr>
    </w:p>
    <w:p w:rsidR="00586A79" w:rsidRDefault="00B16B2C" w:rsidP="00417EEF">
      <w:pPr>
        <w:rPr>
          <w:rFonts w:ascii="Arial" w:hAnsi="Arial" w:cs="Arial"/>
          <w:lang w:val="en-US"/>
        </w:rPr>
      </w:pPr>
      <w:r>
        <w:rPr>
          <w:rFonts w:ascii="Arial" w:hAnsi="Arial" w:cs="Arial"/>
        </w:rPr>
        <w:t>6</w:t>
      </w:r>
      <w:r w:rsidR="00586A79" w:rsidRPr="00C27363">
        <w:rPr>
          <w:rFonts w:ascii="Arial" w:hAnsi="Arial" w:cs="Arial"/>
        </w:rPr>
        <w:t>.1</w:t>
      </w:r>
      <w:r w:rsidR="00CB236D">
        <w:rPr>
          <w:rFonts w:ascii="Arial" w:hAnsi="Arial" w:cs="Arial"/>
        </w:rPr>
        <w:t>2</w:t>
      </w:r>
      <w:r w:rsidR="00586A79">
        <w:rPr>
          <w:rFonts w:ascii="Arial" w:hAnsi="Arial" w:cs="Arial"/>
        </w:rPr>
        <w:t xml:space="preserve"> Simple cautions </w:t>
      </w:r>
      <w:r w:rsidR="00586A79">
        <w:rPr>
          <w:rFonts w:ascii="Arial" w:hAnsi="Arial" w:cs="Arial"/>
          <w:lang w:val="en-US"/>
        </w:rPr>
        <w:t>can be offered only in exceptional circumstances, because of the interpersonal nature of these crimes, this is subject to a number of</w:t>
      </w:r>
      <w:r w:rsidR="00586A79" w:rsidRPr="00D03477">
        <w:rPr>
          <w:rFonts w:ascii="Arial" w:hAnsi="Arial" w:cs="Arial"/>
          <w:lang w:val="en-US"/>
        </w:rPr>
        <w:t xml:space="preserve"> provisions </w:t>
      </w:r>
      <w:r w:rsidR="00586A79">
        <w:rPr>
          <w:rFonts w:ascii="Arial" w:hAnsi="Arial" w:cs="Arial"/>
          <w:lang w:val="en-US"/>
        </w:rPr>
        <w:t>outlined within the APP (see link above)</w:t>
      </w:r>
      <w:r w:rsidR="00586A79" w:rsidRPr="00D03477">
        <w:rPr>
          <w:rFonts w:ascii="Arial" w:hAnsi="Arial" w:cs="Arial"/>
          <w:lang w:val="en-US"/>
        </w:rPr>
        <w:t xml:space="preserve">. </w:t>
      </w:r>
      <w:r w:rsidR="00586A79">
        <w:rPr>
          <w:rFonts w:ascii="Arial" w:hAnsi="Arial" w:cs="Arial"/>
          <w:lang w:val="en-US"/>
        </w:rPr>
        <w:t xml:space="preserve">  When</w:t>
      </w:r>
      <w:r w:rsidR="00586A79" w:rsidRPr="00D03477">
        <w:rPr>
          <w:rFonts w:ascii="Arial" w:hAnsi="Arial" w:cs="Arial"/>
          <w:lang w:val="en-US"/>
        </w:rPr>
        <w:t xml:space="preserve"> the evidential stage of the Full Code Test is passed, it will rarely be appropriate to deal with a </w:t>
      </w:r>
      <w:r w:rsidR="00247BDD">
        <w:rPr>
          <w:rFonts w:ascii="Arial" w:hAnsi="Arial" w:cs="Arial"/>
          <w:lang w:val="en-US"/>
        </w:rPr>
        <w:t>so-called</w:t>
      </w:r>
      <w:r w:rsidR="003210B1">
        <w:rPr>
          <w:rFonts w:ascii="Arial" w:hAnsi="Arial" w:cs="Arial"/>
          <w:lang w:val="en-US"/>
        </w:rPr>
        <w:t xml:space="preserve"> HBV/A</w:t>
      </w:r>
      <w:r w:rsidR="0006107F">
        <w:rPr>
          <w:rFonts w:ascii="Arial" w:hAnsi="Arial" w:cs="Arial"/>
          <w:lang w:val="en-US"/>
        </w:rPr>
        <w:t>,</w:t>
      </w:r>
      <w:r w:rsidR="00586A79">
        <w:rPr>
          <w:rFonts w:ascii="Arial" w:hAnsi="Arial" w:cs="Arial"/>
          <w:lang w:val="en-US"/>
        </w:rPr>
        <w:t xml:space="preserve"> and/or</w:t>
      </w:r>
      <w:r w:rsidR="0006107F">
        <w:rPr>
          <w:rFonts w:ascii="Arial" w:hAnsi="Arial" w:cs="Arial"/>
          <w:lang w:val="en-US"/>
        </w:rPr>
        <w:t>,</w:t>
      </w:r>
      <w:r w:rsidR="00586A79">
        <w:rPr>
          <w:rFonts w:ascii="Arial" w:hAnsi="Arial" w:cs="Arial"/>
          <w:lang w:val="en-US"/>
        </w:rPr>
        <w:t xml:space="preserve"> FM</w:t>
      </w:r>
      <w:r w:rsidR="00586A79" w:rsidRPr="00D03477">
        <w:rPr>
          <w:rFonts w:ascii="Arial" w:hAnsi="Arial" w:cs="Arial"/>
          <w:lang w:val="en-US"/>
        </w:rPr>
        <w:t xml:space="preserve"> case by way of a simple caution.</w:t>
      </w:r>
      <w:r w:rsidR="008B4517">
        <w:rPr>
          <w:rFonts w:ascii="Arial" w:hAnsi="Arial" w:cs="Arial"/>
          <w:lang w:val="en-US"/>
        </w:rPr>
        <w:t xml:space="preserve"> </w:t>
      </w:r>
      <w:r w:rsidR="008B4517">
        <w:rPr>
          <w:rFonts w:ascii="Arial" w:hAnsi="Arial" w:cs="Arial"/>
        </w:rPr>
        <w:t>A</w:t>
      </w:r>
      <w:r w:rsidR="008B4517" w:rsidRPr="008B4517">
        <w:rPr>
          <w:rFonts w:ascii="Arial" w:hAnsi="Arial" w:cs="Arial"/>
        </w:rPr>
        <w:t xml:space="preserve"> decision to offer a simple caution must be endorsed by the Level E or D</w:t>
      </w:r>
      <w:r w:rsidR="008B4517">
        <w:rPr>
          <w:rFonts w:ascii="Arial" w:hAnsi="Arial" w:cs="Arial"/>
        </w:rPr>
        <w:t xml:space="preserve">eputy </w:t>
      </w:r>
      <w:r w:rsidR="008B4517" w:rsidRPr="008B4517">
        <w:rPr>
          <w:rFonts w:ascii="Arial" w:hAnsi="Arial" w:cs="Arial"/>
        </w:rPr>
        <w:t>C</w:t>
      </w:r>
      <w:r w:rsidR="008B4517">
        <w:rPr>
          <w:rFonts w:ascii="Arial" w:hAnsi="Arial" w:cs="Arial"/>
        </w:rPr>
        <w:t xml:space="preserve">hief </w:t>
      </w:r>
      <w:r w:rsidR="008B4517" w:rsidRPr="008B4517">
        <w:rPr>
          <w:rFonts w:ascii="Arial" w:hAnsi="Arial" w:cs="Arial"/>
        </w:rPr>
        <w:t>C</w:t>
      </w:r>
      <w:r w:rsidR="008B4517">
        <w:rPr>
          <w:rFonts w:ascii="Arial" w:hAnsi="Arial" w:cs="Arial"/>
        </w:rPr>
        <w:t xml:space="preserve">rown </w:t>
      </w:r>
      <w:r w:rsidR="008B4517" w:rsidRPr="008B4517">
        <w:rPr>
          <w:rFonts w:ascii="Arial" w:hAnsi="Arial" w:cs="Arial"/>
        </w:rPr>
        <w:t>P</w:t>
      </w:r>
      <w:r w:rsidR="008B4517">
        <w:rPr>
          <w:rFonts w:ascii="Arial" w:hAnsi="Arial" w:cs="Arial"/>
        </w:rPr>
        <w:t>rosecutor,</w:t>
      </w:r>
      <w:r w:rsidR="008B4517" w:rsidRPr="008B4517">
        <w:rPr>
          <w:rFonts w:ascii="Arial" w:hAnsi="Arial" w:cs="Arial"/>
        </w:rPr>
        <w:t xml:space="preserve"> these will be high risk decisions and unlikely to be under a time pressure</w:t>
      </w:r>
      <w:r w:rsidR="008B4517">
        <w:rPr>
          <w:rFonts w:ascii="Arial" w:hAnsi="Arial" w:cs="Arial"/>
        </w:rPr>
        <w:t>.</w:t>
      </w:r>
    </w:p>
    <w:p w:rsidR="00586A79" w:rsidRDefault="00586A79" w:rsidP="005F0AC8">
      <w:pPr>
        <w:rPr>
          <w:rFonts w:ascii="Arial" w:hAnsi="Arial" w:cs="Arial"/>
          <w:b/>
          <w:bCs/>
          <w:sz w:val="20"/>
          <w:szCs w:val="20"/>
        </w:rPr>
      </w:pPr>
    </w:p>
    <w:p w:rsidR="00586A79" w:rsidRPr="00D03477" w:rsidRDefault="00B16B2C" w:rsidP="00AD32C5">
      <w:pPr>
        <w:rPr>
          <w:rFonts w:ascii="Arial" w:hAnsi="Arial" w:cs="Arial"/>
          <w:bCs/>
          <w:u w:val="single"/>
        </w:rPr>
      </w:pPr>
      <w:r>
        <w:rPr>
          <w:rFonts w:ascii="Arial" w:hAnsi="Arial" w:cs="Arial"/>
          <w:bCs/>
        </w:rPr>
        <w:t>6</w:t>
      </w:r>
      <w:r w:rsidR="00586A79">
        <w:rPr>
          <w:rFonts w:ascii="Arial" w:hAnsi="Arial" w:cs="Arial"/>
          <w:bCs/>
        </w:rPr>
        <w:t>.1</w:t>
      </w:r>
      <w:r w:rsidR="00CB236D">
        <w:rPr>
          <w:rFonts w:ascii="Arial" w:hAnsi="Arial" w:cs="Arial"/>
          <w:bCs/>
        </w:rPr>
        <w:t>3</w:t>
      </w:r>
      <w:r w:rsidR="00586A79" w:rsidRPr="00AD32C5">
        <w:rPr>
          <w:rFonts w:ascii="Arial" w:hAnsi="Arial" w:cs="Arial"/>
          <w:bCs/>
        </w:rPr>
        <w:t xml:space="preserve"> Part 3 of the Criminal Justice Act 2003 makes provisions for </w:t>
      </w:r>
      <w:r w:rsidR="006839B5">
        <w:rPr>
          <w:rFonts w:ascii="Arial" w:hAnsi="Arial" w:cs="Arial"/>
          <w:bCs/>
        </w:rPr>
        <w:t>suspects</w:t>
      </w:r>
      <w:r w:rsidR="00586A79" w:rsidRPr="00AD32C5">
        <w:rPr>
          <w:rFonts w:ascii="Arial" w:hAnsi="Arial" w:cs="Arial"/>
          <w:bCs/>
        </w:rPr>
        <w:t xml:space="preserve"> to be diverted from the courts by issuing them with a conditional caution.  As stated clearly in the </w:t>
      </w:r>
      <w:hyperlink r:id="rId36" w:tgtFrame="_blank" w:tooltip="DPPs Guidance on Adult Conditional Cautions" w:history="1">
        <w:r w:rsidR="00586A79" w:rsidRPr="00AD32C5">
          <w:rPr>
            <w:rStyle w:val="Hyperlink"/>
            <w:rFonts w:ascii="Arial" w:hAnsi="Arial" w:cs="Arial"/>
            <w:bCs/>
          </w:rPr>
          <w:t>DPP's Guidance on Adult Conditional Cautions</w:t>
        </w:r>
      </w:hyperlink>
      <w:r w:rsidR="00586A79" w:rsidRPr="00AD32C5">
        <w:rPr>
          <w:rFonts w:ascii="Arial" w:hAnsi="Arial" w:cs="Arial"/>
          <w:bCs/>
        </w:rPr>
        <w:t xml:space="preserve">, </w:t>
      </w:r>
      <w:r w:rsidR="00586A79" w:rsidRPr="00D03477">
        <w:rPr>
          <w:rFonts w:ascii="Arial" w:hAnsi="Arial" w:cs="Arial"/>
          <w:bCs/>
          <w:u w:val="single"/>
        </w:rPr>
        <w:t>domestic abuse cases must not be considered for conditional cautioning</w:t>
      </w:r>
      <w:r w:rsidR="00586A79">
        <w:rPr>
          <w:rStyle w:val="FootnoteReference"/>
          <w:rFonts w:ascii="Arial" w:hAnsi="Arial" w:cs="Arial"/>
          <w:bCs/>
          <w:u w:val="single"/>
        </w:rPr>
        <w:footnoteReference w:id="13"/>
      </w:r>
      <w:r w:rsidR="00586A79" w:rsidRPr="00D03477">
        <w:rPr>
          <w:rFonts w:ascii="Arial" w:hAnsi="Arial" w:cs="Arial"/>
          <w:bCs/>
          <w:u w:val="single"/>
        </w:rPr>
        <w:t>.</w:t>
      </w:r>
    </w:p>
    <w:p w:rsidR="00586A79" w:rsidRDefault="00586A79" w:rsidP="00417EEF">
      <w:pPr>
        <w:rPr>
          <w:rFonts w:ascii="Arial" w:hAnsi="Arial" w:cs="Arial"/>
        </w:rPr>
      </w:pPr>
    </w:p>
    <w:p w:rsidR="00B02E3E" w:rsidRPr="00EA56BB" w:rsidRDefault="00B02E3E" w:rsidP="00B02E3E">
      <w:pPr>
        <w:pStyle w:val="Default"/>
        <w:rPr>
          <w:sz w:val="22"/>
          <w:szCs w:val="22"/>
        </w:rPr>
      </w:pPr>
      <w:r w:rsidRPr="00EA56BB">
        <w:rPr>
          <w:sz w:val="22"/>
          <w:szCs w:val="22"/>
        </w:rPr>
        <w:t>6.1</w:t>
      </w:r>
      <w:r w:rsidR="00CB236D">
        <w:rPr>
          <w:sz w:val="22"/>
          <w:szCs w:val="22"/>
        </w:rPr>
        <w:t>4</w:t>
      </w:r>
      <w:r w:rsidRPr="00EA56BB">
        <w:rPr>
          <w:sz w:val="22"/>
          <w:szCs w:val="22"/>
        </w:rPr>
        <w:t xml:space="preserve"> The IO or disclosure officer and the CPS lead will handle unused material in accordance with the Criminal Procedure and Investigations Act (CPIA) 1996 as amended, the relevant Code of Practice, the Attorney General's guidelines on disclosure and the </w:t>
      </w:r>
      <w:hyperlink r:id="rId37" w:history="1">
        <w:r w:rsidRPr="00EA56BB">
          <w:rPr>
            <w:rStyle w:val="Hyperlink"/>
            <w:rFonts w:cs="Arial"/>
            <w:sz w:val="22"/>
            <w:szCs w:val="22"/>
          </w:rPr>
          <w:t>Disclosure Manual</w:t>
        </w:r>
      </w:hyperlink>
      <w:r w:rsidRPr="00EA56BB">
        <w:rPr>
          <w:sz w:val="22"/>
          <w:szCs w:val="22"/>
        </w:rPr>
        <w:t>.</w:t>
      </w:r>
    </w:p>
    <w:p w:rsidR="00B02E3E" w:rsidRPr="00EA56BB" w:rsidRDefault="00B02E3E" w:rsidP="00B02E3E">
      <w:pPr>
        <w:widowControl w:val="0"/>
        <w:autoSpaceDE w:val="0"/>
        <w:autoSpaceDN w:val="0"/>
        <w:adjustRightInd w:val="0"/>
        <w:jc w:val="both"/>
        <w:rPr>
          <w:rFonts w:ascii="Arial" w:hAnsi="Arial" w:cs="Arial"/>
          <w:color w:val="000000"/>
        </w:rPr>
      </w:pPr>
    </w:p>
    <w:p w:rsidR="00B02E3E" w:rsidRPr="00EA56BB" w:rsidRDefault="00B02E3E" w:rsidP="00B02E3E">
      <w:pPr>
        <w:widowControl w:val="0"/>
        <w:autoSpaceDE w:val="0"/>
        <w:autoSpaceDN w:val="0"/>
        <w:adjustRightInd w:val="0"/>
        <w:jc w:val="both"/>
        <w:rPr>
          <w:rFonts w:ascii="Arial" w:hAnsi="Arial" w:cs="Arial"/>
        </w:rPr>
      </w:pPr>
      <w:r w:rsidRPr="00EA56BB">
        <w:rPr>
          <w:rFonts w:ascii="Arial" w:hAnsi="Arial" w:cs="Arial"/>
          <w:color w:val="000000"/>
        </w:rPr>
        <w:t>6.</w:t>
      </w:r>
      <w:r>
        <w:rPr>
          <w:rFonts w:ascii="Arial" w:hAnsi="Arial" w:cs="Arial"/>
          <w:color w:val="000000"/>
        </w:rPr>
        <w:t>1</w:t>
      </w:r>
      <w:r w:rsidR="00CB236D">
        <w:rPr>
          <w:rFonts w:ascii="Arial" w:hAnsi="Arial" w:cs="Arial"/>
          <w:color w:val="000000"/>
        </w:rPr>
        <w:t>5</w:t>
      </w:r>
      <w:r w:rsidRPr="00EA56BB">
        <w:rPr>
          <w:rFonts w:ascii="Arial" w:hAnsi="Arial" w:cs="Arial"/>
          <w:color w:val="000000"/>
        </w:rPr>
        <w:t xml:space="preserve"> </w:t>
      </w:r>
      <w:r w:rsidRPr="00EA56BB">
        <w:rPr>
          <w:rFonts w:ascii="Arial" w:hAnsi="Arial" w:cs="Arial"/>
        </w:rPr>
        <w:t>The Police will ensure that the IO or disclosure officer is adequately trained on CPIA procedure.</w:t>
      </w:r>
    </w:p>
    <w:p w:rsidR="00B02E3E" w:rsidRPr="00EA56BB" w:rsidRDefault="00B02E3E" w:rsidP="00B02E3E">
      <w:pPr>
        <w:widowControl w:val="0"/>
        <w:autoSpaceDE w:val="0"/>
        <w:autoSpaceDN w:val="0"/>
        <w:adjustRightInd w:val="0"/>
        <w:jc w:val="both"/>
        <w:rPr>
          <w:rFonts w:ascii="Arial" w:hAnsi="Arial" w:cs="Arial"/>
        </w:rPr>
      </w:pPr>
    </w:p>
    <w:p w:rsidR="00B02E3E" w:rsidRPr="00EA56BB" w:rsidRDefault="00B02E3E" w:rsidP="00B02E3E">
      <w:pPr>
        <w:widowControl w:val="0"/>
        <w:autoSpaceDE w:val="0"/>
        <w:autoSpaceDN w:val="0"/>
        <w:adjustRightInd w:val="0"/>
        <w:spacing w:after="240"/>
        <w:jc w:val="both"/>
        <w:rPr>
          <w:rFonts w:ascii="Arial" w:hAnsi="Arial" w:cs="Arial"/>
        </w:rPr>
      </w:pPr>
      <w:r w:rsidRPr="00EA56BB">
        <w:rPr>
          <w:rFonts w:ascii="Arial" w:hAnsi="Arial" w:cs="Arial"/>
        </w:rPr>
        <w:t>6.1</w:t>
      </w:r>
      <w:r w:rsidR="00CB236D">
        <w:rPr>
          <w:rFonts w:ascii="Arial" w:hAnsi="Arial" w:cs="Arial"/>
        </w:rPr>
        <w:t>6</w:t>
      </w:r>
      <w:r w:rsidRPr="00EA56BB">
        <w:rPr>
          <w:rFonts w:ascii="Arial" w:hAnsi="Arial" w:cs="Arial"/>
        </w:rPr>
        <w:t xml:space="preserve"> The IO or disclosure officer and the CPS </w:t>
      </w:r>
      <w:r w:rsidRPr="00B02E3E">
        <w:rPr>
          <w:rFonts w:ascii="Arial" w:hAnsi="Arial" w:cs="Arial"/>
        </w:rPr>
        <w:t xml:space="preserve">Area HBV/A and FM Lead </w:t>
      </w:r>
      <w:r w:rsidRPr="00EA56BB">
        <w:rPr>
          <w:rFonts w:ascii="Arial" w:hAnsi="Arial" w:cs="Arial"/>
        </w:rPr>
        <w:t>will be proactive in identifying relevant third party material at the pre-charge stage. Access to third party material will be sought prior to the decision to charge wherever possible.</w:t>
      </w:r>
    </w:p>
    <w:p w:rsidR="00B02E3E" w:rsidRPr="00EA56BB" w:rsidRDefault="00B02E3E" w:rsidP="00B02E3E">
      <w:pPr>
        <w:widowControl w:val="0"/>
        <w:autoSpaceDE w:val="0"/>
        <w:autoSpaceDN w:val="0"/>
        <w:adjustRightInd w:val="0"/>
        <w:spacing w:after="240"/>
        <w:jc w:val="both"/>
        <w:rPr>
          <w:rFonts w:ascii="Arial" w:hAnsi="Arial" w:cs="Arial"/>
        </w:rPr>
      </w:pPr>
      <w:r w:rsidRPr="00EA56BB">
        <w:rPr>
          <w:rFonts w:ascii="Arial" w:hAnsi="Arial" w:cs="Arial"/>
        </w:rPr>
        <w:t>6.1</w:t>
      </w:r>
      <w:r w:rsidR="00CB236D">
        <w:rPr>
          <w:rFonts w:ascii="Arial" w:hAnsi="Arial" w:cs="Arial"/>
        </w:rPr>
        <w:t>7</w:t>
      </w:r>
      <w:r w:rsidRPr="00EA56BB">
        <w:rPr>
          <w:rFonts w:ascii="Arial" w:hAnsi="Arial" w:cs="Arial"/>
        </w:rPr>
        <w:t xml:space="preserve"> In respect of cases involving child </w:t>
      </w:r>
      <w:r w:rsidR="003013D7">
        <w:rPr>
          <w:rFonts w:ascii="Arial" w:hAnsi="Arial" w:cs="Arial"/>
        </w:rPr>
        <w:t>complainant</w:t>
      </w:r>
      <w:r w:rsidRPr="00EA56BB">
        <w:rPr>
          <w:rFonts w:ascii="Arial" w:hAnsi="Arial" w:cs="Arial"/>
        </w:rPr>
        <w:t>s access to and exchange of third party material held by a local authority will be dealt with in accordance with local protocols de</w:t>
      </w:r>
      <w:r>
        <w:rPr>
          <w:rFonts w:ascii="Arial" w:hAnsi="Arial" w:cs="Arial"/>
        </w:rPr>
        <w:t>veloped and agreed between the P</w:t>
      </w:r>
      <w:r w:rsidRPr="00EA56BB">
        <w:rPr>
          <w:rFonts w:ascii="Arial" w:hAnsi="Arial" w:cs="Arial"/>
        </w:rPr>
        <w:t>olice and CPS and the Local Authorities, as soon as reasonably practicable.</w:t>
      </w:r>
    </w:p>
    <w:p w:rsidR="00B02E3E" w:rsidRPr="00EA56BB" w:rsidRDefault="00B02E3E" w:rsidP="00B02E3E">
      <w:pPr>
        <w:widowControl w:val="0"/>
        <w:autoSpaceDE w:val="0"/>
        <w:autoSpaceDN w:val="0"/>
        <w:adjustRightInd w:val="0"/>
        <w:spacing w:after="240"/>
        <w:jc w:val="both"/>
        <w:rPr>
          <w:rFonts w:ascii="Arial" w:hAnsi="Arial" w:cs="Arial"/>
        </w:rPr>
      </w:pPr>
      <w:r w:rsidRPr="00EA56BB">
        <w:rPr>
          <w:rFonts w:ascii="Arial" w:hAnsi="Arial" w:cs="Arial"/>
        </w:rPr>
        <w:t>6.1</w:t>
      </w:r>
      <w:r w:rsidR="00CB236D">
        <w:rPr>
          <w:rFonts w:ascii="Arial" w:hAnsi="Arial" w:cs="Arial"/>
        </w:rPr>
        <w:t>8</w:t>
      </w:r>
      <w:r w:rsidRPr="00EA56BB">
        <w:rPr>
          <w:rFonts w:ascii="Arial" w:hAnsi="Arial" w:cs="Arial"/>
        </w:rPr>
        <w:t xml:space="preserve"> </w:t>
      </w:r>
      <w:r w:rsidR="00974486">
        <w:rPr>
          <w:rFonts w:ascii="Arial" w:hAnsi="Arial" w:cs="Arial"/>
        </w:rPr>
        <w:t>Prosecutors</w:t>
      </w:r>
      <w:r w:rsidRPr="00EA56BB">
        <w:rPr>
          <w:rFonts w:ascii="Arial" w:hAnsi="Arial" w:cs="Arial"/>
        </w:rPr>
        <w:t xml:space="preserve"> will make an application to the Court for a witness summons in respect of third party material where appropriate.</w:t>
      </w:r>
    </w:p>
    <w:p w:rsidR="00586A79" w:rsidRDefault="00E636C3" w:rsidP="00417EEF">
      <w:pPr>
        <w:rPr>
          <w:rFonts w:ascii="Arial" w:hAnsi="Arial" w:cs="Arial"/>
          <w:b/>
          <w:bCs/>
        </w:rPr>
      </w:pPr>
      <w:bookmarkStart w:id="6" w:name="Section7"/>
      <w:r>
        <w:rPr>
          <w:rFonts w:ascii="Arial" w:hAnsi="Arial" w:cs="Arial"/>
          <w:b/>
          <w:bCs/>
        </w:rPr>
        <w:t>7</w:t>
      </w:r>
      <w:r w:rsidR="00586A79" w:rsidRPr="00333296">
        <w:rPr>
          <w:rFonts w:ascii="Arial" w:hAnsi="Arial" w:cs="Arial"/>
          <w:b/>
          <w:bCs/>
        </w:rPr>
        <w:t xml:space="preserve">. SECTION </w:t>
      </w:r>
      <w:r>
        <w:rPr>
          <w:rFonts w:ascii="Arial" w:hAnsi="Arial" w:cs="Arial"/>
          <w:b/>
          <w:bCs/>
        </w:rPr>
        <w:t>7</w:t>
      </w:r>
      <w:r w:rsidR="00586A79" w:rsidRPr="00333296">
        <w:rPr>
          <w:rFonts w:ascii="Arial" w:hAnsi="Arial" w:cs="Arial"/>
          <w:b/>
          <w:bCs/>
        </w:rPr>
        <w:t xml:space="preserve"> –</w:t>
      </w:r>
      <w:r w:rsidR="00586A79">
        <w:rPr>
          <w:rFonts w:ascii="Arial" w:hAnsi="Arial" w:cs="Arial"/>
          <w:b/>
          <w:bCs/>
        </w:rPr>
        <w:t xml:space="preserve"> </w:t>
      </w:r>
      <w:r w:rsidR="00586A79" w:rsidRPr="00333296">
        <w:rPr>
          <w:rFonts w:ascii="Arial" w:hAnsi="Arial" w:cs="Arial"/>
          <w:b/>
          <w:bCs/>
        </w:rPr>
        <w:t xml:space="preserve">CASE PREPARATION </w:t>
      </w:r>
    </w:p>
    <w:bookmarkEnd w:id="6"/>
    <w:p w:rsidR="00586A79" w:rsidRDefault="00586A79" w:rsidP="00417EEF">
      <w:pPr>
        <w:rPr>
          <w:rFonts w:ascii="Arial" w:hAnsi="Arial" w:cs="Arial"/>
          <w:b/>
          <w:bCs/>
        </w:rPr>
      </w:pPr>
    </w:p>
    <w:p w:rsidR="00586A79" w:rsidRPr="004E70CB" w:rsidRDefault="00E636C3" w:rsidP="008314BD">
      <w:pPr>
        <w:rPr>
          <w:rFonts w:ascii="Arial" w:hAnsi="Arial" w:cs="Arial"/>
        </w:rPr>
      </w:pPr>
      <w:r>
        <w:rPr>
          <w:rFonts w:ascii="Arial" w:hAnsi="Arial" w:cs="Arial"/>
        </w:rPr>
        <w:t>7</w:t>
      </w:r>
      <w:r w:rsidR="00586A79">
        <w:rPr>
          <w:rFonts w:ascii="Arial" w:hAnsi="Arial" w:cs="Arial"/>
        </w:rPr>
        <w:t xml:space="preserve">.1 </w:t>
      </w:r>
      <w:r w:rsidR="00586A79" w:rsidRPr="004E70CB">
        <w:rPr>
          <w:rFonts w:ascii="Arial" w:hAnsi="Arial" w:cs="Arial"/>
        </w:rPr>
        <w:t xml:space="preserve">Prosecutors should work closely with the police and other </w:t>
      </w:r>
      <w:r w:rsidR="00586A79">
        <w:rPr>
          <w:rFonts w:ascii="Arial" w:hAnsi="Arial" w:cs="Arial"/>
        </w:rPr>
        <w:t xml:space="preserve">specialist </w:t>
      </w:r>
      <w:r w:rsidR="00586A79" w:rsidRPr="004E70CB">
        <w:rPr>
          <w:rFonts w:ascii="Arial" w:hAnsi="Arial" w:cs="Arial"/>
        </w:rPr>
        <w:t>agencies to ensure that the best evidence is gathered and presented to the court</w:t>
      </w:r>
      <w:r w:rsidR="00586A79">
        <w:rPr>
          <w:rFonts w:ascii="Arial" w:hAnsi="Arial" w:cs="Arial"/>
        </w:rPr>
        <w:t xml:space="preserve">.  The case should have </w:t>
      </w:r>
      <w:r w:rsidR="00586A79" w:rsidRPr="001B1E93">
        <w:rPr>
          <w:rFonts w:ascii="Arial" w:hAnsi="Arial" w:cs="Arial"/>
        </w:rPr>
        <w:t xml:space="preserve">a clear narrative </w:t>
      </w:r>
      <w:r w:rsidR="00586A79">
        <w:rPr>
          <w:rFonts w:ascii="Arial" w:hAnsi="Arial" w:cs="Arial"/>
        </w:rPr>
        <w:t xml:space="preserve">pre-empting and </w:t>
      </w:r>
      <w:r w:rsidR="00586A79" w:rsidRPr="001B1E93">
        <w:rPr>
          <w:rFonts w:ascii="Arial" w:hAnsi="Arial" w:cs="Arial"/>
        </w:rPr>
        <w:t>challeng</w:t>
      </w:r>
      <w:r w:rsidR="00586A79">
        <w:rPr>
          <w:rFonts w:ascii="Arial" w:hAnsi="Arial" w:cs="Arial"/>
        </w:rPr>
        <w:t>ing</w:t>
      </w:r>
      <w:r w:rsidR="00586A79" w:rsidRPr="001B1E93">
        <w:rPr>
          <w:rFonts w:ascii="Arial" w:hAnsi="Arial" w:cs="Arial"/>
        </w:rPr>
        <w:t xml:space="preserve"> </w:t>
      </w:r>
      <w:r w:rsidR="00586A79">
        <w:rPr>
          <w:rFonts w:ascii="Arial" w:hAnsi="Arial" w:cs="Arial"/>
        </w:rPr>
        <w:t>any assumptions/</w:t>
      </w:r>
      <w:r w:rsidR="00586A79" w:rsidRPr="001B1E93">
        <w:rPr>
          <w:rFonts w:ascii="Arial" w:hAnsi="Arial" w:cs="Arial"/>
        </w:rPr>
        <w:t>associated</w:t>
      </w:r>
      <w:r w:rsidR="00586A79">
        <w:rPr>
          <w:rFonts w:ascii="Arial" w:hAnsi="Arial" w:cs="Arial"/>
        </w:rPr>
        <w:t xml:space="preserve"> </w:t>
      </w:r>
      <w:r w:rsidR="00586A79" w:rsidRPr="001B1E93">
        <w:rPr>
          <w:rFonts w:ascii="Arial" w:hAnsi="Arial" w:cs="Arial"/>
        </w:rPr>
        <w:t>myths</w:t>
      </w:r>
      <w:r w:rsidR="00586A79">
        <w:rPr>
          <w:rFonts w:ascii="Arial" w:hAnsi="Arial" w:cs="Arial"/>
        </w:rPr>
        <w:t xml:space="preserve"> and </w:t>
      </w:r>
      <w:r w:rsidR="00586A79" w:rsidRPr="001B1E93">
        <w:rPr>
          <w:rFonts w:ascii="Arial" w:hAnsi="Arial" w:cs="Arial"/>
        </w:rPr>
        <w:t>stereotypes.</w:t>
      </w:r>
      <w:r w:rsidR="00586A79">
        <w:rPr>
          <w:rFonts w:ascii="Arial" w:hAnsi="Arial" w:cs="Arial"/>
        </w:rPr>
        <w:t xml:space="preserve"> </w:t>
      </w:r>
      <w:r w:rsidR="00586A79" w:rsidRPr="001B1E93">
        <w:rPr>
          <w:rFonts w:ascii="Arial" w:hAnsi="Arial" w:cs="Arial"/>
        </w:rPr>
        <w:t xml:space="preserve"> </w:t>
      </w:r>
      <w:r w:rsidR="00586A79" w:rsidRPr="004E70CB">
        <w:rPr>
          <w:rFonts w:ascii="Arial" w:hAnsi="Arial" w:cs="Arial"/>
        </w:rPr>
        <w:t>A strong, coordinated prosecution team is required to proactively build and manage a case.</w:t>
      </w:r>
    </w:p>
    <w:p w:rsidR="00586A79" w:rsidRDefault="00586A79" w:rsidP="00417EEF">
      <w:pPr>
        <w:rPr>
          <w:rFonts w:ascii="Arial" w:hAnsi="Arial" w:cs="Arial"/>
        </w:rPr>
      </w:pPr>
    </w:p>
    <w:p w:rsidR="00586A79" w:rsidRPr="00333296" w:rsidRDefault="00E636C3" w:rsidP="00417EEF">
      <w:pPr>
        <w:rPr>
          <w:rFonts w:ascii="Arial" w:hAnsi="Arial" w:cs="Arial"/>
        </w:rPr>
      </w:pPr>
      <w:r>
        <w:rPr>
          <w:rFonts w:ascii="Arial" w:hAnsi="Arial" w:cs="Arial"/>
        </w:rPr>
        <w:t>7</w:t>
      </w:r>
      <w:r w:rsidR="00586A79">
        <w:rPr>
          <w:rFonts w:ascii="Arial" w:hAnsi="Arial" w:cs="Arial"/>
        </w:rPr>
        <w:t>.2</w:t>
      </w:r>
      <w:r w:rsidR="00586A79" w:rsidRPr="00333296">
        <w:rPr>
          <w:rFonts w:ascii="Arial" w:hAnsi="Arial" w:cs="Arial"/>
        </w:rPr>
        <w:t xml:space="preserve">. If the </w:t>
      </w:r>
      <w:r w:rsidR="00586A79">
        <w:rPr>
          <w:rFonts w:ascii="Arial" w:hAnsi="Arial" w:cs="Arial"/>
        </w:rPr>
        <w:t>suspect</w:t>
      </w:r>
      <w:r w:rsidR="00586A79" w:rsidRPr="00333296">
        <w:rPr>
          <w:rFonts w:ascii="Arial" w:hAnsi="Arial" w:cs="Arial"/>
        </w:rPr>
        <w:t xml:space="preserve"> pleads not guilty, the full evidential file sent by the police </w:t>
      </w:r>
      <w:r w:rsidR="00323798">
        <w:rPr>
          <w:rFonts w:ascii="Arial" w:hAnsi="Arial" w:cs="Arial"/>
        </w:rPr>
        <w:t>should meet the national file standard and include:</w:t>
      </w:r>
      <w:r w:rsidR="00586A79" w:rsidRPr="00333296">
        <w:rPr>
          <w:rFonts w:ascii="Arial" w:hAnsi="Arial" w:cs="Arial"/>
        </w:rPr>
        <w:t xml:space="preserve"> </w:t>
      </w:r>
    </w:p>
    <w:p w:rsidR="00586A79" w:rsidRPr="005B3F2E" w:rsidRDefault="00586A79" w:rsidP="005B3F2E">
      <w:pPr>
        <w:rPr>
          <w:rFonts w:ascii="Arial" w:hAnsi="Arial" w:cs="Arial"/>
        </w:rPr>
      </w:pPr>
    </w:p>
    <w:p w:rsidR="00586A79" w:rsidRDefault="00586A79" w:rsidP="00417EEF">
      <w:pPr>
        <w:pStyle w:val="ListParagraph"/>
        <w:numPr>
          <w:ilvl w:val="0"/>
          <w:numId w:val="12"/>
        </w:numPr>
        <w:rPr>
          <w:rFonts w:ascii="Arial" w:hAnsi="Arial" w:cs="Arial"/>
        </w:rPr>
      </w:pPr>
      <w:r w:rsidRPr="009203FF">
        <w:rPr>
          <w:rFonts w:ascii="Arial" w:hAnsi="Arial" w:cs="Arial"/>
        </w:rPr>
        <w:t xml:space="preserve">The </w:t>
      </w:r>
      <w:r w:rsidR="003013D7">
        <w:rPr>
          <w:rFonts w:ascii="Arial" w:hAnsi="Arial" w:cs="Arial"/>
        </w:rPr>
        <w:t>complainant</w:t>
      </w:r>
      <w:r w:rsidRPr="009203FF">
        <w:rPr>
          <w:rFonts w:ascii="Arial" w:hAnsi="Arial" w:cs="Arial"/>
        </w:rPr>
        <w:t xml:space="preserve">’s views on an application for a FMPO or restraining order; and </w:t>
      </w:r>
    </w:p>
    <w:p w:rsidR="00586A79" w:rsidRPr="00BE24B6" w:rsidRDefault="00586A79" w:rsidP="00BE24B6">
      <w:pPr>
        <w:pStyle w:val="ListParagraph"/>
        <w:numPr>
          <w:ilvl w:val="0"/>
          <w:numId w:val="12"/>
        </w:numPr>
        <w:rPr>
          <w:rFonts w:ascii="Arial" w:hAnsi="Arial" w:cs="Arial"/>
        </w:rPr>
      </w:pPr>
      <w:r w:rsidRPr="009203FF">
        <w:rPr>
          <w:rFonts w:ascii="Arial" w:hAnsi="Arial" w:cs="Arial"/>
        </w:rPr>
        <w:t xml:space="preserve">Confirmation that the police have discussed the proposed terms of a FMPO and/or a restraining order with </w:t>
      </w:r>
      <w:r w:rsidR="003013D7">
        <w:rPr>
          <w:rFonts w:ascii="Arial" w:hAnsi="Arial" w:cs="Arial"/>
        </w:rPr>
        <w:t>complainant</w:t>
      </w:r>
      <w:r w:rsidRPr="009203FF">
        <w:rPr>
          <w:rFonts w:ascii="Arial" w:hAnsi="Arial" w:cs="Arial"/>
        </w:rPr>
        <w:t xml:space="preserve"> and a draft FMPO/restraining order setting out proposed conditions tailored to </w:t>
      </w:r>
      <w:r w:rsidR="003013D7">
        <w:rPr>
          <w:rFonts w:ascii="Arial" w:hAnsi="Arial" w:cs="Arial"/>
        </w:rPr>
        <w:t>complainant</w:t>
      </w:r>
      <w:r w:rsidRPr="009203FF">
        <w:rPr>
          <w:rFonts w:ascii="Arial" w:hAnsi="Arial" w:cs="Arial"/>
        </w:rPr>
        <w:t>’s needs and addressing the specific circu</w:t>
      </w:r>
      <w:r>
        <w:rPr>
          <w:rFonts w:ascii="Arial" w:hAnsi="Arial" w:cs="Arial"/>
        </w:rPr>
        <w:t>mstances of the behaviour</w:t>
      </w:r>
    </w:p>
    <w:p w:rsidR="00586A79" w:rsidRDefault="00586A79" w:rsidP="00417EEF">
      <w:pPr>
        <w:rPr>
          <w:rFonts w:ascii="Arial" w:hAnsi="Arial" w:cs="Arial"/>
        </w:rPr>
      </w:pPr>
    </w:p>
    <w:p w:rsidR="00586A79" w:rsidRPr="00333296" w:rsidRDefault="00E636C3" w:rsidP="00417EEF">
      <w:pPr>
        <w:rPr>
          <w:rFonts w:ascii="Arial" w:hAnsi="Arial" w:cs="Arial"/>
        </w:rPr>
      </w:pPr>
      <w:r>
        <w:rPr>
          <w:rFonts w:ascii="Arial" w:hAnsi="Arial" w:cs="Arial"/>
        </w:rPr>
        <w:t>7</w:t>
      </w:r>
      <w:r w:rsidR="00586A79">
        <w:rPr>
          <w:rFonts w:ascii="Arial" w:hAnsi="Arial" w:cs="Arial"/>
        </w:rPr>
        <w:t>.3</w:t>
      </w:r>
      <w:r w:rsidR="00586A79" w:rsidRPr="00333296">
        <w:rPr>
          <w:rFonts w:ascii="Arial" w:hAnsi="Arial" w:cs="Arial"/>
        </w:rPr>
        <w:t xml:space="preserve"> When a </w:t>
      </w:r>
      <w:r w:rsidR="003013D7">
        <w:rPr>
          <w:rFonts w:ascii="Arial" w:hAnsi="Arial" w:cs="Arial"/>
        </w:rPr>
        <w:t>complainant</w:t>
      </w:r>
      <w:r w:rsidR="00586A79" w:rsidRPr="00333296">
        <w:rPr>
          <w:rFonts w:ascii="Arial" w:hAnsi="Arial" w:cs="Arial"/>
        </w:rPr>
        <w:t xml:space="preserve"> asks the police not to proceed or withdraws their support for a prosecution the police will take a written statement that will: </w:t>
      </w:r>
    </w:p>
    <w:p w:rsidR="00586A79" w:rsidRPr="00333296" w:rsidRDefault="00586A79" w:rsidP="00417EEF">
      <w:pPr>
        <w:rPr>
          <w:rFonts w:ascii="Arial" w:hAnsi="Arial" w:cs="Arial"/>
        </w:rPr>
      </w:pPr>
    </w:p>
    <w:p w:rsidR="00586A79" w:rsidRPr="000B7A64" w:rsidRDefault="00586A79" w:rsidP="000B7A64">
      <w:pPr>
        <w:pStyle w:val="ListParagraph"/>
        <w:numPr>
          <w:ilvl w:val="0"/>
          <w:numId w:val="12"/>
        </w:numPr>
        <w:rPr>
          <w:rFonts w:ascii="Arial" w:hAnsi="Arial" w:cs="Arial"/>
        </w:rPr>
      </w:pPr>
      <w:r w:rsidRPr="000B7A64">
        <w:rPr>
          <w:rFonts w:ascii="Arial" w:hAnsi="Arial" w:cs="Arial"/>
        </w:rPr>
        <w:t xml:space="preserve">Explain the reasons for withdrawing support; </w:t>
      </w:r>
    </w:p>
    <w:p w:rsidR="00586A79" w:rsidRDefault="00586A79" w:rsidP="00417EEF">
      <w:pPr>
        <w:pStyle w:val="ListParagraph"/>
        <w:numPr>
          <w:ilvl w:val="0"/>
          <w:numId w:val="12"/>
        </w:numPr>
        <w:rPr>
          <w:rFonts w:ascii="Arial" w:hAnsi="Arial" w:cs="Arial"/>
        </w:rPr>
      </w:pPr>
      <w:r w:rsidRPr="000B7A64">
        <w:rPr>
          <w:rFonts w:ascii="Arial" w:hAnsi="Arial" w:cs="Arial"/>
        </w:rPr>
        <w:t xml:space="preserve">Set out whether the </w:t>
      </w:r>
      <w:r w:rsidR="003013D7">
        <w:rPr>
          <w:rFonts w:ascii="Arial" w:hAnsi="Arial" w:cs="Arial"/>
        </w:rPr>
        <w:t>complainant</w:t>
      </w:r>
      <w:r w:rsidRPr="000B7A64">
        <w:rPr>
          <w:rFonts w:ascii="Arial" w:hAnsi="Arial" w:cs="Arial"/>
        </w:rPr>
        <w:t xml:space="preserve"> has been pressurised to withdraw their complaint by any person</w:t>
      </w:r>
      <w:r w:rsidR="000F7481">
        <w:rPr>
          <w:rFonts w:ascii="Arial" w:hAnsi="Arial" w:cs="Arial"/>
        </w:rPr>
        <w:t xml:space="preserve"> and</w:t>
      </w:r>
      <w:r w:rsidRPr="000B7A64">
        <w:rPr>
          <w:rFonts w:ascii="Arial" w:hAnsi="Arial" w:cs="Arial"/>
        </w:rPr>
        <w:t xml:space="preserve">; </w:t>
      </w:r>
    </w:p>
    <w:p w:rsidR="00586A79" w:rsidRPr="000B7A64" w:rsidRDefault="00586A79" w:rsidP="00417EEF">
      <w:pPr>
        <w:pStyle w:val="ListParagraph"/>
        <w:numPr>
          <w:ilvl w:val="0"/>
          <w:numId w:val="12"/>
        </w:numPr>
        <w:rPr>
          <w:rFonts w:ascii="Arial" w:hAnsi="Arial" w:cs="Arial"/>
        </w:rPr>
      </w:pPr>
      <w:r w:rsidRPr="000B7A64">
        <w:rPr>
          <w:rFonts w:ascii="Arial" w:hAnsi="Arial" w:cs="Arial"/>
        </w:rPr>
        <w:t xml:space="preserve">Confirm whether the </w:t>
      </w:r>
      <w:r w:rsidR="003013D7">
        <w:rPr>
          <w:rFonts w:ascii="Arial" w:hAnsi="Arial" w:cs="Arial"/>
        </w:rPr>
        <w:t>complainant</w:t>
      </w:r>
      <w:r w:rsidRPr="000B7A64">
        <w:rPr>
          <w:rFonts w:ascii="Arial" w:hAnsi="Arial" w:cs="Arial"/>
        </w:rPr>
        <w:t xml:space="preserve"> is pursuing any civil action. </w:t>
      </w:r>
    </w:p>
    <w:p w:rsidR="00586A79" w:rsidRPr="00333296" w:rsidRDefault="00586A79" w:rsidP="00417EEF">
      <w:pPr>
        <w:rPr>
          <w:rFonts w:ascii="Arial" w:hAnsi="Arial" w:cs="Arial"/>
        </w:rPr>
      </w:pPr>
    </w:p>
    <w:p w:rsidR="00586A79" w:rsidRPr="00333296" w:rsidRDefault="00E636C3" w:rsidP="00417EEF">
      <w:pPr>
        <w:rPr>
          <w:rFonts w:ascii="Arial" w:hAnsi="Arial" w:cs="Arial"/>
        </w:rPr>
      </w:pPr>
      <w:r>
        <w:rPr>
          <w:rFonts w:ascii="Arial" w:hAnsi="Arial" w:cs="Arial"/>
        </w:rPr>
        <w:t>7</w:t>
      </w:r>
      <w:r w:rsidR="00586A79">
        <w:rPr>
          <w:rFonts w:ascii="Arial" w:hAnsi="Arial" w:cs="Arial"/>
        </w:rPr>
        <w:t>.4</w:t>
      </w:r>
      <w:r w:rsidR="00586A79" w:rsidRPr="00333296">
        <w:rPr>
          <w:rFonts w:ascii="Arial" w:hAnsi="Arial" w:cs="Arial"/>
        </w:rPr>
        <w:t xml:space="preserve"> In addition, the police will provide a report that will: </w:t>
      </w:r>
    </w:p>
    <w:p w:rsidR="00586A79" w:rsidRPr="00333296" w:rsidRDefault="00586A79" w:rsidP="00417EEF">
      <w:pPr>
        <w:rPr>
          <w:rFonts w:ascii="Arial" w:hAnsi="Arial" w:cs="Arial"/>
        </w:rPr>
      </w:pPr>
    </w:p>
    <w:p w:rsidR="00586A79" w:rsidRPr="000B7A64" w:rsidRDefault="00586A79" w:rsidP="000B7A64">
      <w:pPr>
        <w:pStyle w:val="ListParagraph"/>
        <w:numPr>
          <w:ilvl w:val="0"/>
          <w:numId w:val="12"/>
        </w:numPr>
        <w:rPr>
          <w:rFonts w:ascii="Arial" w:hAnsi="Arial" w:cs="Arial"/>
        </w:rPr>
      </w:pPr>
      <w:r w:rsidRPr="000B7A64">
        <w:rPr>
          <w:rFonts w:ascii="Arial" w:hAnsi="Arial" w:cs="Arial"/>
        </w:rPr>
        <w:t xml:space="preserve">Set out the investigator’s views about the case, in particular the reasons for withdrawal and its impact on the case; </w:t>
      </w:r>
    </w:p>
    <w:p w:rsidR="00586A79" w:rsidRPr="000B7A64" w:rsidRDefault="00586A79" w:rsidP="000B7A64">
      <w:pPr>
        <w:pStyle w:val="ListParagraph"/>
        <w:numPr>
          <w:ilvl w:val="0"/>
          <w:numId w:val="12"/>
        </w:numPr>
        <w:rPr>
          <w:rFonts w:ascii="Arial" w:hAnsi="Arial" w:cs="Arial"/>
        </w:rPr>
      </w:pPr>
      <w:r w:rsidRPr="000B7A64">
        <w:rPr>
          <w:rFonts w:ascii="Arial" w:hAnsi="Arial" w:cs="Arial"/>
        </w:rPr>
        <w:t xml:space="preserve">Confirm if the </w:t>
      </w:r>
      <w:r w:rsidR="003013D7">
        <w:rPr>
          <w:rFonts w:ascii="Arial" w:hAnsi="Arial" w:cs="Arial"/>
        </w:rPr>
        <w:t>complainant</w:t>
      </w:r>
      <w:r w:rsidRPr="000B7A64">
        <w:rPr>
          <w:rFonts w:ascii="Arial" w:hAnsi="Arial" w:cs="Arial"/>
        </w:rPr>
        <w:t xml:space="preserve"> is supported by any specialist support service</w:t>
      </w:r>
      <w:r>
        <w:rPr>
          <w:rFonts w:ascii="Arial" w:hAnsi="Arial" w:cs="Arial"/>
        </w:rPr>
        <w:t xml:space="preserve"> or an IDVA and, where they are, </w:t>
      </w:r>
      <w:r w:rsidR="000F7481">
        <w:rPr>
          <w:rFonts w:ascii="Arial" w:hAnsi="Arial" w:cs="Arial"/>
        </w:rPr>
        <w:t xml:space="preserve">include </w:t>
      </w:r>
      <w:r>
        <w:rPr>
          <w:rFonts w:ascii="Arial" w:hAnsi="Arial" w:cs="Arial"/>
        </w:rPr>
        <w:t xml:space="preserve">the views of the IDVA or supporter on how the </w:t>
      </w:r>
      <w:r w:rsidR="003013D7">
        <w:rPr>
          <w:rFonts w:ascii="Arial" w:hAnsi="Arial" w:cs="Arial"/>
        </w:rPr>
        <w:t>complainant</w:t>
      </w:r>
      <w:r>
        <w:rPr>
          <w:rFonts w:ascii="Arial" w:hAnsi="Arial" w:cs="Arial"/>
        </w:rPr>
        <w:t xml:space="preserve"> might react if required to attend court and whether they have been put under pressure not to support the prosecution</w:t>
      </w:r>
      <w:r w:rsidRPr="000B7A64">
        <w:rPr>
          <w:rFonts w:ascii="Arial" w:hAnsi="Arial" w:cs="Arial"/>
        </w:rPr>
        <w:t xml:space="preserve">; </w:t>
      </w:r>
    </w:p>
    <w:p w:rsidR="00586A79" w:rsidRPr="000B7A64" w:rsidRDefault="00586A79" w:rsidP="000B7A64">
      <w:pPr>
        <w:pStyle w:val="ListParagraph"/>
        <w:numPr>
          <w:ilvl w:val="0"/>
          <w:numId w:val="12"/>
        </w:numPr>
        <w:rPr>
          <w:rFonts w:ascii="Arial" w:hAnsi="Arial" w:cs="Arial"/>
        </w:rPr>
      </w:pPr>
      <w:r w:rsidRPr="000B7A64">
        <w:rPr>
          <w:rFonts w:ascii="Arial" w:hAnsi="Arial" w:cs="Arial"/>
        </w:rPr>
        <w:t xml:space="preserve">Assess the risks to the </w:t>
      </w:r>
      <w:r w:rsidR="003013D7">
        <w:rPr>
          <w:rFonts w:ascii="Arial" w:hAnsi="Arial" w:cs="Arial"/>
        </w:rPr>
        <w:t>complainant</w:t>
      </w:r>
      <w:r w:rsidRPr="000B7A64">
        <w:rPr>
          <w:rFonts w:ascii="Arial" w:hAnsi="Arial" w:cs="Arial"/>
        </w:rPr>
        <w:t xml:space="preserve"> and any other persons</w:t>
      </w:r>
      <w:r>
        <w:rPr>
          <w:rFonts w:ascii="Arial" w:hAnsi="Arial" w:cs="Arial"/>
        </w:rPr>
        <w:t>’</w:t>
      </w:r>
      <w:r w:rsidR="00463179">
        <w:rPr>
          <w:rFonts w:ascii="Arial" w:hAnsi="Arial" w:cs="Arial"/>
        </w:rPr>
        <w:t xml:space="preserve"> safety</w:t>
      </w:r>
      <w:r w:rsidRPr="000B7A64">
        <w:rPr>
          <w:rFonts w:ascii="Arial" w:hAnsi="Arial" w:cs="Arial"/>
        </w:rPr>
        <w:t xml:space="preserve"> and</w:t>
      </w:r>
      <w:r w:rsidR="00463179">
        <w:rPr>
          <w:rFonts w:ascii="Arial" w:hAnsi="Arial" w:cs="Arial"/>
        </w:rPr>
        <w:t>;</w:t>
      </w:r>
      <w:r w:rsidRPr="000B7A64">
        <w:rPr>
          <w:rFonts w:ascii="Arial" w:hAnsi="Arial" w:cs="Arial"/>
        </w:rPr>
        <w:t xml:space="preserve"> </w:t>
      </w:r>
    </w:p>
    <w:p w:rsidR="00586A79" w:rsidRPr="000B7A64" w:rsidRDefault="00586A79" w:rsidP="000B7A64">
      <w:pPr>
        <w:pStyle w:val="ListParagraph"/>
        <w:numPr>
          <w:ilvl w:val="0"/>
          <w:numId w:val="12"/>
        </w:numPr>
        <w:rPr>
          <w:rFonts w:ascii="Arial" w:hAnsi="Arial" w:cs="Arial"/>
        </w:rPr>
      </w:pPr>
      <w:r w:rsidRPr="000B7A64">
        <w:rPr>
          <w:rFonts w:ascii="Arial" w:hAnsi="Arial" w:cs="Arial"/>
        </w:rPr>
        <w:t xml:space="preserve">Assess how the </w:t>
      </w:r>
      <w:r w:rsidR="003013D7">
        <w:rPr>
          <w:rFonts w:ascii="Arial" w:hAnsi="Arial" w:cs="Arial"/>
        </w:rPr>
        <w:t>complainant</w:t>
      </w:r>
      <w:r w:rsidRPr="000B7A64">
        <w:rPr>
          <w:rFonts w:ascii="Arial" w:hAnsi="Arial" w:cs="Arial"/>
        </w:rPr>
        <w:t xml:space="preserve"> might react if required to attend court. </w:t>
      </w:r>
    </w:p>
    <w:p w:rsidR="00586A79" w:rsidRPr="009B50AF" w:rsidRDefault="00586A79" w:rsidP="00417EEF">
      <w:pPr>
        <w:rPr>
          <w:rFonts w:ascii="Arial" w:hAnsi="Arial" w:cs="Arial"/>
          <w:highlight w:val="yellow"/>
        </w:rPr>
      </w:pPr>
    </w:p>
    <w:p w:rsidR="00586A79" w:rsidRDefault="00E636C3" w:rsidP="00417EEF">
      <w:pPr>
        <w:rPr>
          <w:rFonts w:ascii="Arial" w:hAnsi="Arial" w:cs="Arial"/>
        </w:rPr>
      </w:pPr>
      <w:r>
        <w:rPr>
          <w:rFonts w:ascii="Arial" w:hAnsi="Arial" w:cs="Arial"/>
        </w:rPr>
        <w:t>7</w:t>
      </w:r>
      <w:r w:rsidR="00586A79">
        <w:rPr>
          <w:rFonts w:ascii="Arial" w:hAnsi="Arial" w:cs="Arial"/>
        </w:rPr>
        <w:t>.5</w:t>
      </w:r>
      <w:r w:rsidR="00586A79" w:rsidRPr="00333296">
        <w:rPr>
          <w:rFonts w:ascii="Arial" w:hAnsi="Arial" w:cs="Arial"/>
        </w:rPr>
        <w:t xml:space="preserve"> If it is suspected that the </w:t>
      </w:r>
      <w:r w:rsidR="003013D7">
        <w:rPr>
          <w:rFonts w:ascii="Arial" w:hAnsi="Arial" w:cs="Arial"/>
        </w:rPr>
        <w:t>complainant</w:t>
      </w:r>
      <w:r w:rsidR="00586A79" w:rsidRPr="00333296">
        <w:rPr>
          <w:rFonts w:ascii="Arial" w:hAnsi="Arial" w:cs="Arial"/>
        </w:rPr>
        <w:t xml:space="preserve"> has been pressurised or is frightened, the police will investigate further and assess any support that has been offered and whether the intervention of a local specialist support service could make a difference. The prosecutor will, if appropriate, ask the court to delay any hearing to enable this to be done. </w:t>
      </w:r>
      <w:r w:rsidR="00586A79">
        <w:rPr>
          <w:rFonts w:ascii="Arial" w:hAnsi="Arial" w:cs="Arial"/>
        </w:rPr>
        <w:t xml:space="preserve"> </w:t>
      </w:r>
    </w:p>
    <w:p w:rsidR="00586A79" w:rsidRPr="00333296" w:rsidRDefault="00586A79" w:rsidP="00417EEF">
      <w:pPr>
        <w:rPr>
          <w:rFonts w:ascii="Arial" w:hAnsi="Arial" w:cs="Arial"/>
        </w:rPr>
      </w:pPr>
    </w:p>
    <w:p w:rsidR="00586A79" w:rsidRDefault="00E636C3" w:rsidP="00417EEF">
      <w:pPr>
        <w:rPr>
          <w:rFonts w:ascii="Arial" w:hAnsi="Arial" w:cs="Arial"/>
        </w:rPr>
      </w:pPr>
      <w:r>
        <w:rPr>
          <w:rFonts w:ascii="Arial" w:hAnsi="Arial" w:cs="Arial"/>
        </w:rPr>
        <w:t>7</w:t>
      </w:r>
      <w:r w:rsidR="00586A79">
        <w:rPr>
          <w:rFonts w:ascii="Arial" w:hAnsi="Arial" w:cs="Arial"/>
        </w:rPr>
        <w:t xml:space="preserve">.6 If the </w:t>
      </w:r>
      <w:r w:rsidR="003013D7">
        <w:rPr>
          <w:rFonts w:ascii="Arial" w:hAnsi="Arial" w:cs="Arial"/>
        </w:rPr>
        <w:t>complainant</w:t>
      </w:r>
      <w:r w:rsidR="00586A79">
        <w:rPr>
          <w:rFonts w:ascii="Arial" w:hAnsi="Arial" w:cs="Arial"/>
        </w:rPr>
        <w:t xml:space="preserve"> confirms that the </w:t>
      </w:r>
      <w:r w:rsidR="00F6271C">
        <w:rPr>
          <w:rFonts w:ascii="Arial" w:hAnsi="Arial" w:cs="Arial"/>
        </w:rPr>
        <w:t>report</w:t>
      </w:r>
      <w:r w:rsidR="00586A79">
        <w:rPr>
          <w:rFonts w:ascii="Arial" w:hAnsi="Arial" w:cs="Arial"/>
        </w:rPr>
        <w:t xml:space="preserve"> is true bu</w:t>
      </w:r>
      <w:r w:rsidR="000F7481">
        <w:rPr>
          <w:rFonts w:ascii="Arial" w:hAnsi="Arial" w:cs="Arial"/>
        </w:rPr>
        <w:t>t still wants to withdraw, the p</w:t>
      </w:r>
      <w:r w:rsidR="00586A79">
        <w:rPr>
          <w:rFonts w:ascii="Arial" w:hAnsi="Arial" w:cs="Arial"/>
        </w:rPr>
        <w:t xml:space="preserve">olice and CPS will consider the feasibility of continuing without the </w:t>
      </w:r>
      <w:r w:rsidR="003013D7">
        <w:rPr>
          <w:rFonts w:ascii="Arial" w:hAnsi="Arial" w:cs="Arial"/>
        </w:rPr>
        <w:t>complainant</w:t>
      </w:r>
      <w:r w:rsidR="00586A79">
        <w:rPr>
          <w:rFonts w:ascii="Arial" w:hAnsi="Arial" w:cs="Arial"/>
        </w:rPr>
        <w:t xml:space="preserve">’s evidence and whether to do so against the </w:t>
      </w:r>
      <w:r w:rsidR="003013D7">
        <w:rPr>
          <w:rFonts w:ascii="Arial" w:hAnsi="Arial" w:cs="Arial"/>
        </w:rPr>
        <w:t>complainant</w:t>
      </w:r>
      <w:r w:rsidR="00586A79">
        <w:rPr>
          <w:rFonts w:ascii="Arial" w:hAnsi="Arial" w:cs="Arial"/>
        </w:rPr>
        <w:t>’s wishes.</w:t>
      </w:r>
    </w:p>
    <w:p w:rsidR="00586A79" w:rsidRDefault="00586A79" w:rsidP="00417EEF">
      <w:pPr>
        <w:rPr>
          <w:rFonts w:ascii="Arial" w:hAnsi="Arial" w:cs="Arial"/>
        </w:rPr>
      </w:pPr>
    </w:p>
    <w:p w:rsidR="00586A79" w:rsidRPr="00E51CE0" w:rsidRDefault="00E636C3" w:rsidP="00E51CE0">
      <w:pPr>
        <w:rPr>
          <w:rFonts w:ascii="Arial" w:hAnsi="Arial" w:cs="Arial"/>
        </w:rPr>
      </w:pPr>
      <w:r>
        <w:rPr>
          <w:rFonts w:ascii="Arial" w:hAnsi="Arial" w:cs="Arial"/>
        </w:rPr>
        <w:t>7</w:t>
      </w:r>
      <w:r w:rsidR="00586A79">
        <w:rPr>
          <w:rFonts w:ascii="Arial" w:hAnsi="Arial" w:cs="Arial"/>
        </w:rPr>
        <w:t xml:space="preserve">.7 The issue of a witness summons is a last resort; full consideration should be given to the specific facts of the case and impact on the </w:t>
      </w:r>
      <w:r w:rsidR="004028E4">
        <w:rPr>
          <w:rFonts w:ascii="Arial" w:hAnsi="Arial" w:cs="Arial"/>
        </w:rPr>
        <w:t>complainant</w:t>
      </w:r>
      <w:r w:rsidR="00586A79">
        <w:rPr>
          <w:rFonts w:ascii="Arial" w:hAnsi="Arial" w:cs="Arial"/>
        </w:rPr>
        <w:t>’s safety and wellbeing</w:t>
      </w:r>
      <w:r w:rsidR="00E65FFF">
        <w:rPr>
          <w:rStyle w:val="FootnoteReference"/>
          <w:rFonts w:ascii="Arial" w:hAnsi="Arial"/>
        </w:rPr>
        <w:footnoteReference w:id="14"/>
      </w:r>
      <w:r w:rsidR="00586A79">
        <w:rPr>
          <w:rFonts w:ascii="Arial" w:hAnsi="Arial" w:cs="Arial"/>
        </w:rPr>
        <w:t xml:space="preserve">.  Where </w:t>
      </w:r>
      <w:r w:rsidR="00586A79" w:rsidRPr="00E51CE0">
        <w:rPr>
          <w:rFonts w:ascii="Arial" w:hAnsi="Arial" w:cs="Arial"/>
        </w:rPr>
        <w:t>a  is reluctant to attend court and it is decided the case can only continue with the 's evidence to prove the case, Section 169 of the Serious Organised Crime and Police Act 2005 allows the court to issue a witness summons if it considers it to be in the interests of justice to do so.</w:t>
      </w:r>
    </w:p>
    <w:p w:rsidR="00586A79" w:rsidRDefault="00586A79" w:rsidP="00417EEF">
      <w:pPr>
        <w:rPr>
          <w:rFonts w:ascii="Arial" w:hAnsi="Arial" w:cs="Arial"/>
        </w:rPr>
      </w:pPr>
    </w:p>
    <w:p w:rsidR="00586A79" w:rsidRDefault="00E636C3" w:rsidP="00417EEF">
      <w:pPr>
        <w:rPr>
          <w:rFonts w:ascii="Arial" w:hAnsi="Arial" w:cs="Arial"/>
        </w:rPr>
      </w:pPr>
      <w:r>
        <w:rPr>
          <w:rFonts w:ascii="Arial" w:hAnsi="Arial" w:cs="Arial"/>
        </w:rPr>
        <w:t>7</w:t>
      </w:r>
      <w:r w:rsidR="00586A79">
        <w:rPr>
          <w:rFonts w:ascii="Arial" w:hAnsi="Arial" w:cs="Arial"/>
        </w:rPr>
        <w:t xml:space="preserve">.8 </w:t>
      </w:r>
      <w:r w:rsidR="00586A79" w:rsidRPr="00EE0438">
        <w:rPr>
          <w:rFonts w:ascii="Arial" w:hAnsi="Arial" w:cs="Arial"/>
        </w:rPr>
        <w:t xml:space="preserve">Before the decision to apply for a witness summons is taken, prosecutors must make enquiries to satisfy themselves that the safety of the </w:t>
      </w:r>
      <w:r w:rsidR="003013D7">
        <w:rPr>
          <w:rFonts w:ascii="Arial" w:hAnsi="Arial" w:cs="Arial"/>
        </w:rPr>
        <w:t>complainant</w:t>
      </w:r>
      <w:r w:rsidR="00586A79" w:rsidRPr="00EE0438">
        <w:rPr>
          <w:rFonts w:ascii="Arial" w:hAnsi="Arial" w:cs="Arial"/>
        </w:rPr>
        <w:t xml:space="preserve">, any children and/or other dependants will not be endangered. This information could be sourced from the police, and other sources such as any support organisations involved with assisting the </w:t>
      </w:r>
      <w:r w:rsidR="004028E4">
        <w:rPr>
          <w:rFonts w:ascii="Arial" w:hAnsi="Arial" w:cs="Arial"/>
        </w:rPr>
        <w:t>complainant</w:t>
      </w:r>
      <w:r w:rsidR="00586A79">
        <w:rPr>
          <w:rFonts w:ascii="Arial" w:hAnsi="Arial" w:cs="Arial"/>
        </w:rPr>
        <w:t>.</w:t>
      </w:r>
    </w:p>
    <w:p w:rsidR="00586A79" w:rsidRDefault="00586A79" w:rsidP="00417EEF">
      <w:pPr>
        <w:rPr>
          <w:rFonts w:ascii="Arial" w:hAnsi="Arial" w:cs="Arial"/>
        </w:rPr>
      </w:pPr>
    </w:p>
    <w:p w:rsidR="00586A79" w:rsidRDefault="00E636C3" w:rsidP="00417EEF">
      <w:pPr>
        <w:rPr>
          <w:rFonts w:ascii="Arial" w:hAnsi="Arial" w:cs="Arial"/>
        </w:rPr>
      </w:pPr>
      <w:r>
        <w:rPr>
          <w:rFonts w:ascii="Arial" w:hAnsi="Arial" w:cs="Arial"/>
        </w:rPr>
        <w:t>7</w:t>
      </w:r>
      <w:r w:rsidR="00586A79">
        <w:rPr>
          <w:rFonts w:ascii="Arial" w:hAnsi="Arial" w:cs="Arial"/>
        </w:rPr>
        <w:t xml:space="preserve">.9 Prosecutors should familiarise themselves with the section on </w:t>
      </w:r>
      <w:r w:rsidR="000F7481">
        <w:rPr>
          <w:rFonts w:ascii="Arial" w:hAnsi="Arial" w:cs="Arial"/>
        </w:rPr>
        <w:t>w</w:t>
      </w:r>
      <w:r w:rsidR="00586A79">
        <w:rPr>
          <w:rFonts w:ascii="Arial" w:hAnsi="Arial" w:cs="Arial"/>
        </w:rPr>
        <w:t xml:space="preserve">itness </w:t>
      </w:r>
      <w:r w:rsidR="000F7481">
        <w:rPr>
          <w:rFonts w:ascii="Arial" w:hAnsi="Arial" w:cs="Arial"/>
        </w:rPr>
        <w:t>s</w:t>
      </w:r>
      <w:r w:rsidR="00586A79">
        <w:rPr>
          <w:rFonts w:ascii="Arial" w:hAnsi="Arial" w:cs="Arial"/>
        </w:rPr>
        <w:t xml:space="preserve">ummons within the </w:t>
      </w:r>
      <w:hyperlink r:id="rId38" w:anchor="a44" w:history="1">
        <w:r w:rsidR="00586A79">
          <w:rPr>
            <w:rStyle w:val="Hyperlink"/>
            <w:rFonts w:ascii="Arial" w:hAnsi="Arial" w:cs="Arial"/>
          </w:rPr>
          <w:t>CPS Domestic Abuse Guidelines for Prosecutors</w:t>
        </w:r>
      </w:hyperlink>
      <w:r w:rsidR="00586A79">
        <w:rPr>
          <w:rFonts w:ascii="Arial" w:hAnsi="Arial" w:cs="Arial"/>
        </w:rPr>
        <w:t xml:space="preserve">.  </w:t>
      </w:r>
    </w:p>
    <w:p w:rsidR="00586A79" w:rsidRDefault="00586A79" w:rsidP="00417EEF">
      <w:pPr>
        <w:rPr>
          <w:rFonts w:ascii="Arial" w:hAnsi="Arial" w:cs="Arial"/>
        </w:rPr>
      </w:pPr>
    </w:p>
    <w:p w:rsidR="00586A79" w:rsidRDefault="00E636C3" w:rsidP="00417EEF">
      <w:pPr>
        <w:rPr>
          <w:rFonts w:ascii="Arial" w:hAnsi="Arial" w:cs="Arial"/>
        </w:rPr>
      </w:pPr>
      <w:r>
        <w:rPr>
          <w:rFonts w:ascii="Arial" w:hAnsi="Arial" w:cs="Arial"/>
        </w:rPr>
        <w:t>7</w:t>
      </w:r>
      <w:r w:rsidR="00586A79">
        <w:rPr>
          <w:rFonts w:ascii="Arial" w:hAnsi="Arial" w:cs="Arial"/>
        </w:rPr>
        <w:t xml:space="preserve">.10 </w:t>
      </w:r>
      <w:r w:rsidR="00586A79" w:rsidRPr="0038013C">
        <w:rPr>
          <w:rFonts w:ascii="Arial" w:hAnsi="Arial" w:cs="Arial"/>
        </w:rPr>
        <w:t xml:space="preserve">A prosecution can be supported by the provision of expert evidence from those who have an understanding not only of </w:t>
      </w:r>
      <w:r w:rsidR="00247BDD">
        <w:rPr>
          <w:rFonts w:ascii="Arial" w:hAnsi="Arial" w:cs="Arial"/>
        </w:rPr>
        <w:t>so-called</w:t>
      </w:r>
      <w:r w:rsidR="003210B1">
        <w:rPr>
          <w:rFonts w:ascii="Arial" w:hAnsi="Arial" w:cs="Arial"/>
        </w:rPr>
        <w:t xml:space="preserve"> HBV/</w:t>
      </w:r>
      <w:proofErr w:type="gramStart"/>
      <w:r w:rsidR="003210B1">
        <w:rPr>
          <w:rFonts w:ascii="Arial" w:hAnsi="Arial" w:cs="Arial"/>
        </w:rPr>
        <w:t>A</w:t>
      </w:r>
      <w:r w:rsidR="00586A79" w:rsidRPr="0038013C">
        <w:rPr>
          <w:rFonts w:ascii="Arial" w:hAnsi="Arial" w:cs="Arial"/>
        </w:rPr>
        <w:t xml:space="preserve"> and</w:t>
      </w:r>
      <w:proofErr w:type="gramEnd"/>
      <w:r w:rsidR="00586A79" w:rsidRPr="0038013C">
        <w:rPr>
          <w:rFonts w:ascii="Arial" w:hAnsi="Arial" w:cs="Arial"/>
        </w:rPr>
        <w:t xml:space="preserve"> FM, but specifically of the communities within which they commonly occur. Expert evidence can assist juries and magistrates' in areas with which they are not familiar.</w:t>
      </w:r>
      <w:r w:rsidR="00586A79">
        <w:rPr>
          <w:rFonts w:ascii="Arial" w:hAnsi="Arial" w:cs="Arial"/>
        </w:rPr>
        <w:t xml:space="preserve">  Prosecutors should familiarise themselves with the </w:t>
      </w:r>
      <w:hyperlink r:id="rId39" w:history="1">
        <w:r w:rsidR="00586A79">
          <w:rPr>
            <w:rStyle w:val="Hyperlink"/>
            <w:rFonts w:ascii="Arial" w:hAnsi="Arial" w:cs="Arial"/>
          </w:rPr>
          <w:t>guidance on expert evidence.</w:t>
        </w:r>
      </w:hyperlink>
    </w:p>
    <w:p w:rsidR="00586A79" w:rsidRDefault="00586A79" w:rsidP="00417EEF">
      <w:pPr>
        <w:rPr>
          <w:rFonts w:ascii="Arial" w:hAnsi="Arial" w:cs="Arial"/>
        </w:rPr>
      </w:pPr>
    </w:p>
    <w:p w:rsidR="00586A79" w:rsidRDefault="00E636C3" w:rsidP="00323D1D">
      <w:pPr>
        <w:pStyle w:val="Default"/>
        <w:rPr>
          <w:b/>
          <w:bCs/>
          <w:sz w:val="22"/>
          <w:szCs w:val="22"/>
        </w:rPr>
      </w:pPr>
      <w:bookmarkStart w:id="7" w:name="Section8"/>
      <w:r>
        <w:rPr>
          <w:b/>
          <w:bCs/>
          <w:sz w:val="22"/>
          <w:szCs w:val="22"/>
        </w:rPr>
        <w:t>8</w:t>
      </w:r>
      <w:r w:rsidR="00586A79" w:rsidRPr="00112178">
        <w:rPr>
          <w:b/>
          <w:bCs/>
          <w:sz w:val="22"/>
          <w:szCs w:val="22"/>
        </w:rPr>
        <w:t xml:space="preserve">. SECTION </w:t>
      </w:r>
      <w:r>
        <w:rPr>
          <w:b/>
          <w:bCs/>
          <w:sz w:val="22"/>
          <w:szCs w:val="22"/>
        </w:rPr>
        <w:t>8</w:t>
      </w:r>
      <w:r w:rsidR="00586A79" w:rsidRPr="00112178">
        <w:rPr>
          <w:b/>
          <w:bCs/>
          <w:sz w:val="22"/>
          <w:szCs w:val="22"/>
        </w:rPr>
        <w:t xml:space="preserve"> – </w:t>
      </w:r>
      <w:r w:rsidR="00F6271C">
        <w:rPr>
          <w:b/>
          <w:bCs/>
          <w:sz w:val="22"/>
          <w:szCs w:val="22"/>
        </w:rPr>
        <w:t>VICTIM</w:t>
      </w:r>
      <w:r w:rsidR="00586A79" w:rsidRPr="00112178">
        <w:rPr>
          <w:b/>
          <w:bCs/>
          <w:sz w:val="22"/>
          <w:szCs w:val="22"/>
        </w:rPr>
        <w:t xml:space="preserve"> AND WITNESS</w:t>
      </w:r>
      <w:r w:rsidR="0096232F">
        <w:rPr>
          <w:b/>
          <w:bCs/>
          <w:sz w:val="22"/>
          <w:szCs w:val="22"/>
        </w:rPr>
        <w:t xml:space="preserve"> CARE </w:t>
      </w:r>
      <w:bookmarkEnd w:id="7"/>
      <w:r w:rsidR="00586A79" w:rsidRPr="00112178">
        <w:rPr>
          <w:b/>
          <w:bCs/>
          <w:sz w:val="22"/>
          <w:szCs w:val="22"/>
        </w:rPr>
        <w:t xml:space="preserve"> </w:t>
      </w:r>
    </w:p>
    <w:p w:rsidR="00586A79" w:rsidRDefault="00586A79" w:rsidP="00323D1D">
      <w:pPr>
        <w:pStyle w:val="Default"/>
        <w:rPr>
          <w:b/>
          <w:bCs/>
          <w:sz w:val="22"/>
          <w:szCs w:val="22"/>
        </w:rPr>
      </w:pPr>
    </w:p>
    <w:p w:rsidR="008F1C0F" w:rsidRDefault="00E636C3" w:rsidP="00323D1D">
      <w:pPr>
        <w:pStyle w:val="Default"/>
        <w:rPr>
          <w:bCs/>
          <w:sz w:val="22"/>
          <w:szCs w:val="22"/>
        </w:rPr>
      </w:pPr>
      <w:r>
        <w:rPr>
          <w:bCs/>
          <w:sz w:val="22"/>
          <w:szCs w:val="22"/>
        </w:rPr>
        <w:t>8</w:t>
      </w:r>
      <w:r w:rsidR="00586A79" w:rsidRPr="00474B38">
        <w:rPr>
          <w:bCs/>
          <w:sz w:val="22"/>
          <w:szCs w:val="22"/>
        </w:rPr>
        <w:t>.</w:t>
      </w:r>
      <w:r w:rsidR="00586A79">
        <w:rPr>
          <w:bCs/>
          <w:sz w:val="22"/>
          <w:szCs w:val="22"/>
        </w:rPr>
        <w:t>1</w:t>
      </w:r>
      <w:r w:rsidR="00586A79" w:rsidRPr="00474B38">
        <w:rPr>
          <w:bCs/>
          <w:sz w:val="22"/>
          <w:szCs w:val="22"/>
        </w:rPr>
        <w:t xml:space="preserve"> </w:t>
      </w:r>
      <w:r w:rsidR="008F1C0F" w:rsidRPr="008F1C0F">
        <w:rPr>
          <w:bCs/>
          <w:sz w:val="22"/>
          <w:szCs w:val="22"/>
        </w:rPr>
        <w:t xml:space="preserve">Prosecutors should be aware, when dealing with a case of </w:t>
      </w:r>
      <w:r w:rsidR="00FE5730">
        <w:rPr>
          <w:bCs/>
          <w:sz w:val="22"/>
          <w:szCs w:val="22"/>
        </w:rPr>
        <w:t>HBV/</w:t>
      </w:r>
      <w:proofErr w:type="gramStart"/>
      <w:r w:rsidR="00FE5730">
        <w:rPr>
          <w:bCs/>
          <w:sz w:val="22"/>
          <w:szCs w:val="22"/>
        </w:rPr>
        <w:t>A and</w:t>
      </w:r>
      <w:proofErr w:type="gramEnd"/>
      <w:r w:rsidR="00FE5730">
        <w:rPr>
          <w:bCs/>
          <w:sz w:val="22"/>
          <w:szCs w:val="22"/>
        </w:rPr>
        <w:t xml:space="preserve"> FM</w:t>
      </w:r>
      <w:r w:rsidR="008F1C0F" w:rsidRPr="008F1C0F">
        <w:rPr>
          <w:bCs/>
          <w:sz w:val="22"/>
          <w:szCs w:val="22"/>
        </w:rPr>
        <w:t xml:space="preserve">, that the </w:t>
      </w:r>
      <w:r w:rsidR="00F6271C">
        <w:rPr>
          <w:bCs/>
          <w:sz w:val="22"/>
          <w:szCs w:val="22"/>
        </w:rPr>
        <w:t>victim</w:t>
      </w:r>
      <w:r w:rsidR="008F1C0F" w:rsidRPr="008F1C0F">
        <w:rPr>
          <w:bCs/>
          <w:sz w:val="22"/>
          <w:szCs w:val="22"/>
        </w:rPr>
        <w:t xml:space="preserve"> may not just be a </w:t>
      </w:r>
      <w:r w:rsidR="00F6271C">
        <w:rPr>
          <w:bCs/>
          <w:sz w:val="22"/>
          <w:szCs w:val="22"/>
        </w:rPr>
        <w:t>victim</w:t>
      </w:r>
      <w:r w:rsidR="008F1C0F" w:rsidRPr="008F1C0F">
        <w:rPr>
          <w:bCs/>
          <w:sz w:val="22"/>
          <w:szCs w:val="22"/>
        </w:rPr>
        <w:t xml:space="preserve"> of </w:t>
      </w:r>
      <w:r w:rsidR="00FE5730">
        <w:rPr>
          <w:bCs/>
          <w:sz w:val="22"/>
          <w:szCs w:val="22"/>
        </w:rPr>
        <w:t>HBV/A and FM</w:t>
      </w:r>
      <w:r w:rsidR="008F1C0F" w:rsidRPr="008F1C0F">
        <w:rPr>
          <w:bCs/>
          <w:sz w:val="22"/>
          <w:szCs w:val="22"/>
        </w:rPr>
        <w:t xml:space="preserve">. The </w:t>
      </w:r>
      <w:r w:rsidR="00F6271C">
        <w:rPr>
          <w:bCs/>
          <w:sz w:val="22"/>
          <w:szCs w:val="22"/>
        </w:rPr>
        <w:t>victim</w:t>
      </w:r>
      <w:r w:rsidR="008F1C0F" w:rsidRPr="008F1C0F">
        <w:rPr>
          <w:bCs/>
          <w:sz w:val="22"/>
          <w:szCs w:val="22"/>
        </w:rPr>
        <w:t xml:space="preserve"> may also have been subjected to rape and other sexual offences, or may have been subject to </w:t>
      </w:r>
      <w:r w:rsidR="00FE5730">
        <w:rPr>
          <w:bCs/>
          <w:sz w:val="22"/>
          <w:szCs w:val="22"/>
        </w:rPr>
        <w:t>FGM</w:t>
      </w:r>
      <w:r w:rsidR="008F1C0F" w:rsidRPr="008F1C0F">
        <w:rPr>
          <w:bCs/>
          <w:sz w:val="22"/>
          <w:szCs w:val="22"/>
        </w:rPr>
        <w:t>. There is also the potential for beliefs in witchcraft to be prevalent in practising communities and for these beliefs to be used to justify actions or blame misfortune.</w:t>
      </w:r>
      <w:r w:rsidR="008F1C0F" w:rsidRPr="008F1C0F">
        <w:rPr>
          <w:b/>
          <w:bCs/>
          <w:sz w:val="22"/>
          <w:szCs w:val="22"/>
        </w:rPr>
        <w:t> </w:t>
      </w:r>
      <w:r w:rsidR="008F1C0F" w:rsidRPr="008F1C0F">
        <w:rPr>
          <w:bCs/>
          <w:sz w:val="22"/>
          <w:szCs w:val="22"/>
        </w:rPr>
        <w:t xml:space="preserve">There may also be an element of Coercive Control. The </w:t>
      </w:r>
      <w:r w:rsidR="00F6271C">
        <w:rPr>
          <w:bCs/>
          <w:sz w:val="22"/>
          <w:szCs w:val="22"/>
        </w:rPr>
        <w:t>victim</w:t>
      </w:r>
      <w:r w:rsidR="008F1C0F" w:rsidRPr="008F1C0F">
        <w:rPr>
          <w:bCs/>
          <w:sz w:val="22"/>
          <w:szCs w:val="22"/>
        </w:rPr>
        <w:t xml:space="preserve"> may be under 18, and may also be a </w:t>
      </w:r>
      <w:r w:rsidR="00F6271C">
        <w:rPr>
          <w:bCs/>
          <w:sz w:val="22"/>
          <w:szCs w:val="22"/>
        </w:rPr>
        <w:t>victim</w:t>
      </w:r>
      <w:r w:rsidR="008F1C0F" w:rsidRPr="008F1C0F">
        <w:rPr>
          <w:bCs/>
          <w:sz w:val="22"/>
          <w:szCs w:val="22"/>
        </w:rPr>
        <w:t xml:space="preserve"> of ill treatment.</w:t>
      </w:r>
    </w:p>
    <w:p w:rsidR="008F1C0F" w:rsidRDefault="008F1C0F" w:rsidP="00323D1D">
      <w:pPr>
        <w:pStyle w:val="Default"/>
        <w:rPr>
          <w:bCs/>
          <w:sz w:val="22"/>
          <w:szCs w:val="22"/>
        </w:rPr>
      </w:pPr>
    </w:p>
    <w:p w:rsidR="00586A79" w:rsidRPr="007E35E7" w:rsidRDefault="00FE5730" w:rsidP="00323D1D">
      <w:pPr>
        <w:pStyle w:val="Default"/>
        <w:rPr>
          <w:bCs/>
          <w:sz w:val="22"/>
          <w:szCs w:val="22"/>
        </w:rPr>
      </w:pPr>
      <w:r>
        <w:rPr>
          <w:bCs/>
          <w:sz w:val="22"/>
          <w:szCs w:val="22"/>
        </w:rPr>
        <w:t xml:space="preserve">8.2 </w:t>
      </w:r>
      <w:r w:rsidR="00586A79">
        <w:rPr>
          <w:bCs/>
          <w:sz w:val="22"/>
          <w:szCs w:val="22"/>
        </w:rPr>
        <w:t>It is important for police</w:t>
      </w:r>
      <w:r w:rsidR="00586A79" w:rsidRPr="00474B38">
        <w:rPr>
          <w:bCs/>
          <w:sz w:val="22"/>
          <w:szCs w:val="22"/>
        </w:rPr>
        <w:t xml:space="preserve"> and prosecutors</w:t>
      </w:r>
      <w:r w:rsidR="00586A79">
        <w:rPr>
          <w:bCs/>
          <w:sz w:val="22"/>
          <w:szCs w:val="22"/>
        </w:rPr>
        <w:t xml:space="preserve"> to remember that these cases may involve some of our most vulnerable </w:t>
      </w:r>
      <w:r w:rsidR="00F6271C">
        <w:rPr>
          <w:bCs/>
          <w:sz w:val="22"/>
          <w:szCs w:val="22"/>
        </w:rPr>
        <w:t>victim</w:t>
      </w:r>
      <w:r w:rsidR="00586A79">
        <w:rPr>
          <w:bCs/>
          <w:sz w:val="22"/>
          <w:szCs w:val="22"/>
        </w:rPr>
        <w:t xml:space="preserve">s and witnesses who may have the least confidence in </w:t>
      </w:r>
      <w:r w:rsidR="00486729">
        <w:rPr>
          <w:bCs/>
          <w:sz w:val="22"/>
          <w:szCs w:val="22"/>
        </w:rPr>
        <w:t xml:space="preserve">the </w:t>
      </w:r>
      <w:r w:rsidR="00586A79">
        <w:rPr>
          <w:bCs/>
          <w:sz w:val="22"/>
          <w:szCs w:val="22"/>
        </w:rPr>
        <w:t>criminal justice</w:t>
      </w:r>
      <w:r w:rsidR="00486729">
        <w:rPr>
          <w:bCs/>
          <w:sz w:val="22"/>
          <w:szCs w:val="22"/>
        </w:rPr>
        <w:t xml:space="preserve"> process</w:t>
      </w:r>
      <w:r w:rsidR="00586A79">
        <w:rPr>
          <w:bCs/>
          <w:sz w:val="22"/>
          <w:szCs w:val="22"/>
        </w:rPr>
        <w:t>.</w:t>
      </w:r>
      <w:r w:rsidR="00583503">
        <w:rPr>
          <w:bCs/>
          <w:sz w:val="22"/>
          <w:szCs w:val="22"/>
        </w:rPr>
        <w:t xml:space="preserve">  </w:t>
      </w:r>
      <w:r w:rsidR="00F6271C">
        <w:rPr>
          <w:color w:val="000000" w:themeColor="text1"/>
          <w:sz w:val="22"/>
          <w:szCs w:val="22"/>
        </w:rPr>
        <w:t>Victim</w:t>
      </w:r>
      <w:r w:rsidR="00F429E4" w:rsidRPr="00583503">
        <w:rPr>
          <w:color w:val="000000" w:themeColor="text1"/>
          <w:sz w:val="22"/>
          <w:szCs w:val="22"/>
        </w:rPr>
        <w:t>s often feel a loyalty to their family</w:t>
      </w:r>
      <w:r w:rsidR="00F429E4">
        <w:rPr>
          <w:color w:val="000000" w:themeColor="text1"/>
          <w:sz w:val="22"/>
          <w:szCs w:val="22"/>
        </w:rPr>
        <w:t>/community and</w:t>
      </w:r>
      <w:r w:rsidR="00F429E4" w:rsidRPr="00583503">
        <w:rPr>
          <w:color w:val="000000" w:themeColor="text1"/>
          <w:sz w:val="22"/>
          <w:szCs w:val="22"/>
        </w:rPr>
        <w:t xml:space="preserve"> this might make them particularly reluctant to support a prosecution</w:t>
      </w:r>
      <w:r w:rsidR="00F429E4">
        <w:rPr>
          <w:color w:val="000000" w:themeColor="text1"/>
          <w:sz w:val="22"/>
          <w:szCs w:val="22"/>
        </w:rPr>
        <w:t xml:space="preserve">. </w:t>
      </w:r>
      <w:r w:rsidR="00F429E4" w:rsidRPr="00583503">
        <w:rPr>
          <w:bCs/>
          <w:color w:val="000000" w:themeColor="text1"/>
          <w:sz w:val="22"/>
          <w:szCs w:val="22"/>
        </w:rPr>
        <w:t xml:space="preserve">  </w:t>
      </w:r>
      <w:r w:rsidR="00F429E4">
        <w:rPr>
          <w:bCs/>
          <w:sz w:val="22"/>
          <w:szCs w:val="22"/>
        </w:rPr>
        <w:t xml:space="preserve">They may also need support mechanisms not just during the prosecution process, but also after the case is concluded.  </w:t>
      </w:r>
      <w:r w:rsidR="00F6271C">
        <w:rPr>
          <w:sz w:val="22"/>
          <w:szCs w:val="22"/>
        </w:rPr>
        <w:t>Victim</w:t>
      </w:r>
      <w:r w:rsidR="00586A79" w:rsidRPr="006A0DDB">
        <w:rPr>
          <w:sz w:val="22"/>
          <w:szCs w:val="22"/>
        </w:rPr>
        <w:t xml:space="preserve">s of </w:t>
      </w:r>
      <w:r w:rsidR="00247BDD">
        <w:rPr>
          <w:sz w:val="22"/>
          <w:szCs w:val="22"/>
        </w:rPr>
        <w:t>so-called</w:t>
      </w:r>
      <w:r w:rsidR="003210B1">
        <w:rPr>
          <w:sz w:val="22"/>
          <w:szCs w:val="22"/>
        </w:rPr>
        <w:t xml:space="preserve"> HBV/</w:t>
      </w:r>
      <w:proofErr w:type="gramStart"/>
      <w:r w:rsidR="003210B1">
        <w:rPr>
          <w:sz w:val="22"/>
          <w:szCs w:val="22"/>
        </w:rPr>
        <w:t>A</w:t>
      </w:r>
      <w:proofErr w:type="gramEnd"/>
      <w:r w:rsidR="00586A79" w:rsidRPr="006A0DDB">
        <w:rPr>
          <w:sz w:val="22"/>
          <w:szCs w:val="22"/>
        </w:rPr>
        <w:t xml:space="preserve"> and FM are entitled to an enhanced service under </w:t>
      </w:r>
      <w:hyperlink r:id="rId40" w:history="1">
        <w:r w:rsidR="00783F17">
          <w:rPr>
            <w:rStyle w:val="Hyperlink"/>
            <w:rFonts w:cs="Arial"/>
            <w:sz w:val="22"/>
            <w:szCs w:val="22"/>
          </w:rPr>
          <w:t>The Code of Practice for Victims of Crime: CPS Legal Guidance (Victims Code)</w:t>
        </w:r>
      </w:hyperlink>
      <w:r w:rsidR="00586A79" w:rsidRPr="006A0DDB">
        <w:rPr>
          <w:sz w:val="22"/>
          <w:szCs w:val="22"/>
        </w:rPr>
        <w:t xml:space="preserve">. The police and CPS will comply with their responsibilities as set out in the </w:t>
      </w:r>
      <w:r w:rsidR="00E02A91">
        <w:rPr>
          <w:sz w:val="22"/>
          <w:szCs w:val="22"/>
        </w:rPr>
        <w:t>Victims</w:t>
      </w:r>
      <w:r w:rsidR="00586A79" w:rsidRPr="006A0DDB">
        <w:rPr>
          <w:sz w:val="22"/>
          <w:szCs w:val="22"/>
        </w:rPr>
        <w:t xml:space="preserve"> Code.</w:t>
      </w:r>
      <w:r w:rsidR="00586A79" w:rsidRPr="00112178">
        <w:rPr>
          <w:sz w:val="22"/>
          <w:szCs w:val="22"/>
        </w:rPr>
        <w:t xml:space="preserve"> </w:t>
      </w:r>
    </w:p>
    <w:p w:rsidR="00586A79" w:rsidRDefault="00586A79" w:rsidP="00323D1D">
      <w:pPr>
        <w:pStyle w:val="Default"/>
        <w:rPr>
          <w:bCs/>
          <w:sz w:val="22"/>
          <w:szCs w:val="22"/>
        </w:rPr>
      </w:pPr>
    </w:p>
    <w:p w:rsidR="00586A79" w:rsidRDefault="00E636C3" w:rsidP="00323D1D">
      <w:pPr>
        <w:pStyle w:val="Default"/>
        <w:rPr>
          <w:bCs/>
          <w:sz w:val="22"/>
          <w:szCs w:val="22"/>
        </w:rPr>
      </w:pPr>
      <w:r>
        <w:rPr>
          <w:sz w:val="22"/>
          <w:szCs w:val="22"/>
          <w:lang w:eastAsia="en-GB"/>
        </w:rPr>
        <w:t>8</w:t>
      </w:r>
      <w:r w:rsidR="00586A79" w:rsidRPr="002165A4">
        <w:rPr>
          <w:sz w:val="22"/>
          <w:szCs w:val="22"/>
          <w:lang w:eastAsia="en-GB"/>
        </w:rPr>
        <w:t>.</w:t>
      </w:r>
      <w:r w:rsidR="00FE5730">
        <w:rPr>
          <w:sz w:val="22"/>
          <w:szCs w:val="22"/>
          <w:lang w:eastAsia="en-GB"/>
        </w:rPr>
        <w:t>3</w:t>
      </w:r>
      <w:r w:rsidR="00586A79">
        <w:rPr>
          <w:sz w:val="22"/>
          <w:szCs w:val="22"/>
          <w:lang w:eastAsia="en-GB"/>
        </w:rPr>
        <w:t xml:space="preserve"> The police are responsible for ensuring that all </w:t>
      </w:r>
      <w:r w:rsidR="00247BDD">
        <w:rPr>
          <w:sz w:val="22"/>
          <w:szCs w:val="22"/>
          <w:lang w:eastAsia="en-GB"/>
        </w:rPr>
        <w:t>so-called</w:t>
      </w:r>
      <w:r w:rsidR="003210B1">
        <w:rPr>
          <w:sz w:val="22"/>
          <w:szCs w:val="22"/>
          <w:lang w:eastAsia="en-GB"/>
        </w:rPr>
        <w:t xml:space="preserve"> HBV/A</w:t>
      </w:r>
      <w:r w:rsidR="00586A79">
        <w:rPr>
          <w:sz w:val="22"/>
          <w:szCs w:val="22"/>
          <w:lang w:eastAsia="en-GB"/>
        </w:rPr>
        <w:t xml:space="preserve"> and FM </w:t>
      </w:r>
      <w:r w:rsidR="00F6271C">
        <w:rPr>
          <w:sz w:val="22"/>
          <w:szCs w:val="22"/>
          <w:lang w:eastAsia="en-GB"/>
        </w:rPr>
        <w:t>victim</w:t>
      </w:r>
      <w:r w:rsidR="00586A79">
        <w:rPr>
          <w:sz w:val="22"/>
          <w:szCs w:val="22"/>
          <w:lang w:eastAsia="en-GB"/>
        </w:rPr>
        <w:t xml:space="preserve">s </w:t>
      </w:r>
      <w:r w:rsidR="00586A79" w:rsidRPr="00CD114B">
        <w:rPr>
          <w:sz w:val="22"/>
          <w:szCs w:val="22"/>
          <w:lang w:eastAsia="en-GB"/>
        </w:rPr>
        <w:t>a</w:t>
      </w:r>
      <w:r w:rsidR="00586A79">
        <w:rPr>
          <w:sz w:val="22"/>
          <w:szCs w:val="22"/>
          <w:lang w:eastAsia="en-GB"/>
        </w:rPr>
        <w:t>re a</w:t>
      </w:r>
      <w:r w:rsidR="00586A79" w:rsidRPr="00CD114B">
        <w:rPr>
          <w:sz w:val="22"/>
          <w:szCs w:val="22"/>
          <w:lang w:eastAsia="en-GB"/>
        </w:rPr>
        <w:t xml:space="preserve">ssisted appropriately according to their specific needs (age, maturity, disability, minority ethnic background, </w:t>
      </w:r>
      <w:r w:rsidR="00486729">
        <w:rPr>
          <w:sz w:val="22"/>
          <w:szCs w:val="22"/>
          <w:lang w:eastAsia="en-GB"/>
        </w:rPr>
        <w:t xml:space="preserve">religion, </w:t>
      </w:r>
      <w:r w:rsidR="00586A79" w:rsidRPr="00CD114B">
        <w:rPr>
          <w:sz w:val="22"/>
          <w:szCs w:val="22"/>
          <w:lang w:eastAsia="en-GB"/>
        </w:rPr>
        <w:t>gender/gender identity etc</w:t>
      </w:r>
      <w:r w:rsidR="00586A79">
        <w:rPr>
          <w:sz w:val="22"/>
          <w:szCs w:val="22"/>
          <w:lang w:eastAsia="en-GB"/>
        </w:rPr>
        <w:t>.</w:t>
      </w:r>
      <w:r w:rsidR="00586A79" w:rsidRPr="00CD114B">
        <w:rPr>
          <w:sz w:val="22"/>
          <w:szCs w:val="22"/>
          <w:lang w:eastAsia="en-GB"/>
        </w:rPr>
        <w:t>)</w:t>
      </w:r>
      <w:r w:rsidR="00586A79">
        <w:rPr>
          <w:sz w:val="22"/>
          <w:szCs w:val="22"/>
          <w:lang w:eastAsia="en-GB"/>
        </w:rPr>
        <w:t xml:space="preserve"> and that they are referred to local specialist support services at the start of an investigation including, IDVA support,</w:t>
      </w:r>
      <w:r w:rsidR="00D41548">
        <w:rPr>
          <w:sz w:val="22"/>
          <w:szCs w:val="22"/>
          <w:lang w:eastAsia="en-GB"/>
        </w:rPr>
        <w:t xml:space="preserve"> BME specialist organisations,</w:t>
      </w:r>
      <w:r w:rsidR="00586A79">
        <w:rPr>
          <w:sz w:val="22"/>
          <w:szCs w:val="22"/>
          <w:lang w:eastAsia="en-GB"/>
        </w:rPr>
        <w:t xml:space="preserve"> or their equivalent, where available.  </w:t>
      </w:r>
      <w:r w:rsidR="00586A79" w:rsidRPr="00635E16">
        <w:rPr>
          <w:bCs/>
          <w:sz w:val="22"/>
          <w:szCs w:val="22"/>
        </w:rPr>
        <w:t>A list of support agencies and corresponding help lines can be found within</w:t>
      </w:r>
      <w:r w:rsidR="00586A79">
        <w:rPr>
          <w:bCs/>
          <w:sz w:val="22"/>
          <w:szCs w:val="22"/>
        </w:rPr>
        <w:t xml:space="preserve"> CPS</w:t>
      </w:r>
      <w:r w:rsidR="00586A79" w:rsidRPr="00635E16">
        <w:rPr>
          <w:bCs/>
          <w:sz w:val="22"/>
          <w:szCs w:val="22"/>
        </w:rPr>
        <w:t xml:space="preserve"> </w:t>
      </w:r>
      <w:hyperlink r:id="rId41" w:anchor="AnnexD" w:history="1">
        <w:r w:rsidR="00586A79">
          <w:rPr>
            <w:rStyle w:val="Hyperlink"/>
            <w:rFonts w:cs="Arial"/>
            <w:bCs/>
            <w:sz w:val="22"/>
            <w:szCs w:val="22"/>
          </w:rPr>
          <w:t>HBV and FM Legal Guidance Annex D</w:t>
        </w:r>
      </w:hyperlink>
      <w:r w:rsidR="00586A79">
        <w:rPr>
          <w:bCs/>
          <w:sz w:val="22"/>
          <w:szCs w:val="22"/>
        </w:rPr>
        <w:t>.</w:t>
      </w:r>
    </w:p>
    <w:p w:rsidR="00586A79" w:rsidRDefault="00586A79" w:rsidP="00323D1D">
      <w:pPr>
        <w:pStyle w:val="Default"/>
        <w:rPr>
          <w:bCs/>
          <w:sz w:val="22"/>
          <w:szCs w:val="22"/>
        </w:rPr>
      </w:pPr>
    </w:p>
    <w:p w:rsidR="00586A79" w:rsidRDefault="00E636C3" w:rsidP="00323D1D">
      <w:pPr>
        <w:pStyle w:val="Default"/>
        <w:rPr>
          <w:bCs/>
          <w:sz w:val="22"/>
          <w:szCs w:val="22"/>
        </w:rPr>
      </w:pPr>
      <w:r>
        <w:rPr>
          <w:bCs/>
          <w:sz w:val="22"/>
          <w:szCs w:val="22"/>
        </w:rPr>
        <w:t>8</w:t>
      </w:r>
      <w:r w:rsidR="00586A79">
        <w:rPr>
          <w:bCs/>
          <w:sz w:val="22"/>
          <w:szCs w:val="22"/>
        </w:rPr>
        <w:t>.</w:t>
      </w:r>
      <w:r w:rsidR="00FE5730">
        <w:rPr>
          <w:bCs/>
          <w:sz w:val="22"/>
          <w:szCs w:val="22"/>
        </w:rPr>
        <w:t>4</w:t>
      </w:r>
      <w:r w:rsidR="00586A79">
        <w:rPr>
          <w:bCs/>
          <w:sz w:val="22"/>
          <w:szCs w:val="22"/>
        </w:rPr>
        <w:t xml:space="preserve"> In every </w:t>
      </w:r>
      <w:r w:rsidR="00247BDD">
        <w:rPr>
          <w:bCs/>
          <w:sz w:val="22"/>
          <w:szCs w:val="22"/>
        </w:rPr>
        <w:t>so-called</w:t>
      </w:r>
      <w:r w:rsidR="003210B1">
        <w:rPr>
          <w:bCs/>
          <w:sz w:val="22"/>
          <w:szCs w:val="22"/>
        </w:rPr>
        <w:t xml:space="preserve"> HBV/</w:t>
      </w:r>
      <w:proofErr w:type="gramStart"/>
      <w:r w:rsidR="003210B1">
        <w:rPr>
          <w:bCs/>
          <w:sz w:val="22"/>
          <w:szCs w:val="22"/>
        </w:rPr>
        <w:t>A</w:t>
      </w:r>
      <w:r w:rsidR="00586A79">
        <w:rPr>
          <w:bCs/>
          <w:sz w:val="22"/>
          <w:szCs w:val="22"/>
        </w:rPr>
        <w:t xml:space="preserve"> and/or</w:t>
      </w:r>
      <w:proofErr w:type="gramEnd"/>
      <w:r w:rsidR="00586A79">
        <w:rPr>
          <w:bCs/>
          <w:sz w:val="22"/>
          <w:szCs w:val="22"/>
        </w:rPr>
        <w:t xml:space="preserve"> FM case the police will obtain the </w:t>
      </w:r>
      <w:r w:rsidR="003013D7">
        <w:rPr>
          <w:bCs/>
          <w:sz w:val="22"/>
          <w:szCs w:val="22"/>
        </w:rPr>
        <w:t>complainant</w:t>
      </w:r>
      <w:r w:rsidR="00586A79">
        <w:rPr>
          <w:bCs/>
          <w:sz w:val="22"/>
          <w:szCs w:val="22"/>
        </w:rPr>
        <w:t xml:space="preserve">’s agreement on who is to be their </w:t>
      </w:r>
      <w:r w:rsidR="003210B1">
        <w:rPr>
          <w:bCs/>
          <w:sz w:val="22"/>
          <w:szCs w:val="22"/>
        </w:rPr>
        <w:t>SPOC</w:t>
      </w:r>
      <w:r w:rsidR="00586A79">
        <w:rPr>
          <w:bCs/>
          <w:sz w:val="22"/>
          <w:szCs w:val="22"/>
        </w:rPr>
        <w:t xml:space="preserve"> and their preferred means of contact (telephone, text, email or other).  The identity of the SPOC should be shared with the CPS and the Witness Care Unit so that it is clear who is responsible for communicating with the </w:t>
      </w:r>
      <w:r w:rsidR="003013D7">
        <w:rPr>
          <w:bCs/>
          <w:sz w:val="22"/>
          <w:szCs w:val="22"/>
        </w:rPr>
        <w:t>complainant</w:t>
      </w:r>
      <w:r w:rsidR="00586A79">
        <w:rPr>
          <w:bCs/>
          <w:sz w:val="22"/>
          <w:szCs w:val="22"/>
        </w:rPr>
        <w:t xml:space="preserve"> and recording any actions arising.</w:t>
      </w:r>
      <w:r w:rsidR="009B080C">
        <w:rPr>
          <w:bCs/>
          <w:sz w:val="22"/>
          <w:szCs w:val="22"/>
        </w:rPr>
        <w:t xml:space="preserve">  Thought should be given to succession planning in preparation for </w:t>
      </w:r>
      <w:r w:rsidR="001B6B9B">
        <w:rPr>
          <w:bCs/>
          <w:sz w:val="22"/>
          <w:szCs w:val="22"/>
        </w:rPr>
        <w:t>when</w:t>
      </w:r>
      <w:r w:rsidR="009B080C">
        <w:rPr>
          <w:bCs/>
          <w:sz w:val="22"/>
          <w:szCs w:val="22"/>
        </w:rPr>
        <w:t xml:space="preserve"> a SPOC moves on or has any absence from work.</w:t>
      </w:r>
    </w:p>
    <w:p w:rsidR="00586A79" w:rsidRPr="00B7342A" w:rsidRDefault="00586A79" w:rsidP="00323D1D">
      <w:pPr>
        <w:pStyle w:val="Default"/>
        <w:rPr>
          <w:bCs/>
          <w:sz w:val="22"/>
          <w:szCs w:val="22"/>
        </w:rPr>
      </w:pPr>
    </w:p>
    <w:p w:rsidR="009C078E" w:rsidRPr="00B7342A" w:rsidRDefault="00E636C3" w:rsidP="00B7342A">
      <w:pPr>
        <w:rPr>
          <w:rFonts w:ascii="Arial" w:hAnsi="Arial" w:cs="Arial"/>
        </w:rPr>
      </w:pPr>
      <w:r>
        <w:rPr>
          <w:rFonts w:ascii="Arial" w:hAnsi="Arial" w:cs="Arial"/>
        </w:rPr>
        <w:t>8</w:t>
      </w:r>
      <w:r w:rsidR="00586A79">
        <w:rPr>
          <w:rFonts w:ascii="Arial" w:hAnsi="Arial" w:cs="Arial"/>
        </w:rPr>
        <w:t>.</w:t>
      </w:r>
      <w:r w:rsidR="00FE5730">
        <w:rPr>
          <w:rFonts w:ascii="Arial" w:hAnsi="Arial" w:cs="Arial"/>
        </w:rPr>
        <w:t>5</w:t>
      </w:r>
      <w:r w:rsidR="00586A79" w:rsidRPr="00B7342A">
        <w:rPr>
          <w:rFonts w:ascii="Arial" w:hAnsi="Arial" w:cs="Arial"/>
        </w:rPr>
        <w:t xml:space="preserve"> Police officers will explain to </w:t>
      </w:r>
      <w:r w:rsidR="003013D7">
        <w:rPr>
          <w:rFonts w:ascii="Arial" w:hAnsi="Arial" w:cs="Arial"/>
        </w:rPr>
        <w:t>complainant</w:t>
      </w:r>
      <w:r w:rsidR="00586A79" w:rsidRPr="00B7342A">
        <w:rPr>
          <w:rFonts w:ascii="Arial" w:hAnsi="Arial" w:cs="Arial"/>
        </w:rPr>
        <w:t xml:space="preserve">s and their supporters the available special measures and their advantages and disadvantages, including any potential impact on the proceedings. They will obtain </w:t>
      </w:r>
      <w:r w:rsidR="003013D7">
        <w:rPr>
          <w:rFonts w:ascii="Arial" w:hAnsi="Arial" w:cs="Arial"/>
        </w:rPr>
        <w:t>complainant</w:t>
      </w:r>
      <w:r w:rsidR="00586A79">
        <w:rPr>
          <w:rFonts w:ascii="Arial" w:hAnsi="Arial" w:cs="Arial"/>
        </w:rPr>
        <w:t>’</w:t>
      </w:r>
      <w:r w:rsidR="00586A79" w:rsidRPr="00B7342A">
        <w:rPr>
          <w:rFonts w:ascii="Arial" w:hAnsi="Arial" w:cs="Arial"/>
        </w:rPr>
        <w:t xml:space="preserve">s informed views and pass them to the CPS to inform any special measures application. This should include the name of any supporter, including any IDVA that the </w:t>
      </w:r>
      <w:r w:rsidR="003013D7">
        <w:rPr>
          <w:rFonts w:ascii="Arial" w:hAnsi="Arial" w:cs="Arial"/>
        </w:rPr>
        <w:t>complainant</w:t>
      </w:r>
      <w:r w:rsidR="00586A79" w:rsidRPr="00B7342A">
        <w:rPr>
          <w:rFonts w:ascii="Arial" w:hAnsi="Arial" w:cs="Arial"/>
        </w:rPr>
        <w:t xml:space="preserve"> wishes to accompany them in court or a live link room.  The CPS should make applications for special measures, bad character and hearsay evidence at the earliest possible opportunity.</w:t>
      </w:r>
      <w:r w:rsidR="009C078E">
        <w:rPr>
          <w:rFonts w:ascii="Arial" w:hAnsi="Arial" w:cs="Arial"/>
        </w:rPr>
        <w:t xml:space="preserve">  Police and prosecutors should remind </w:t>
      </w:r>
      <w:r w:rsidR="003013D7">
        <w:rPr>
          <w:rFonts w:ascii="Arial" w:hAnsi="Arial" w:cs="Arial"/>
        </w:rPr>
        <w:t>complainant</w:t>
      </w:r>
      <w:r w:rsidR="009C078E">
        <w:rPr>
          <w:rFonts w:ascii="Arial" w:hAnsi="Arial" w:cs="Arial"/>
        </w:rPr>
        <w:t>s of the services offered by the Witness Service such as pre-trial familiarisation visits.</w:t>
      </w:r>
    </w:p>
    <w:p w:rsidR="00586A79" w:rsidRDefault="00586A79" w:rsidP="00323D1D">
      <w:pPr>
        <w:pStyle w:val="Default"/>
        <w:rPr>
          <w:bCs/>
          <w:sz w:val="22"/>
          <w:szCs w:val="22"/>
        </w:rPr>
      </w:pPr>
    </w:p>
    <w:p w:rsidR="00586A79" w:rsidRDefault="00E636C3" w:rsidP="00323D1D">
      <w:pPr>
        <w:pStyle w:val="Default"/>
        <w:rPr>
          <w:bCs/>
          <w:sz w:val="22"/>
          <w:szCs w:val="22"/>
        </w:rPr>
      </w:pPr>
      <w:r>
        <w:rPr>
          <w:bCs/>
          <w:sz w:val="22"/>
          <w:szCs w:val="22"/>
        </w:rPr>
        <w:t>8</w:t>
      </w:r>
      <w:r w:rsidR="00586A79">
        <w:rPr>
          <w:bCs/>
          <w:sz w:val="22"/>
          <w:szCs w:val="22"/>
        </w:rPr>
        <w:t>.</w:t>
      </w:r>
      <w:r w:rsidR="00FE5730">
        <w:rPr>
          <w:bCs/>
          <w:sz w:val="22"/>
          <w:szCs w:val="22"/>
        </w:rPr>
        <w:t>6</w:t>
      </w:r>
      <w:r w:rsidR="00586A79">
        <w:rPr>
          <w:bCs/>
          <w:sz w:val="22"/>
          <w:szCs w:val="22"/>
        </w:rPr>
        <w:t xml:space="preserve"> Where the CPS decision is not to charge or ends all proceedings in relation to the </w:t>
      </w:r>
      <w:r w:rsidR="003013D7">
        <w:rPr>
          <w:bCs/>
          <w:sz w:val="22"/>
          <w:szCs w:val="22"/>
        </w:rPr>
        <w:t>complainant</w:t>
      </w:r>
      <w:r w:rsidR="00586A79">
        <w:rPr>
          <w:bCs/>
          <w:sz w:val="22"/>
          <w:szCs w:val="22"/>
        </w:rPr>
        <w:t xml:space="preserve">, the </w:t>
      </w:r>
      <w:r w:rsidR="003013D7">
        <w:rPr>
          <w:bCs/>
          <w:sz w:val="22"/>
          <w:szCs w:val="22"/>
        </w:rPr>
        <w:t>complainant</w:t>
      </w:r>
      <w:r w:rsidR="00586A79">
        <w:rPr>
          <w:bCs/>
          <w:sz w:val="22"/>
          <w:szCs w:val="22"/>
        </w:rPr>
        <w:t xml:space="preserve"> should be informed of their right to have the case re-reviewed as part of the </w:t>
      </w:r>
      <w:r w:rsidR="00B91564">
        <w:rPr>
          <w:bCs/>
          <w:sz w:val="22"/>
          <w:szCs w:val="22"/>
        </w:rPr>
        <w:t>Victims</w:t>
      </w:r>
      <w:r w:rsidR="00586A79">
        <w:rPr>
          <w:bCs/>
          <w:sz w:val="22"/>
          <w:szCs w:val="22"/>
        </w:rPr>
        <w:t xml:space="preserve"> Right to Review (VRR) scheme.</w:t>
      </w:r>
    </w:p>
    <w:p w:rsidR="00586A79" w:rsidRDefault="00586A79" w:rsidP="00323D1D">
      <w:pPr>
        <w:pStyle w:val="Default"/>
        <w:rPr>
          <w:b/>
          <w:bCs/>
          <w:i/>
          <w:sz w:val="22"/>
          <w:szCs w:val="22"/>
        </w:rPr>
      </w:pPr>
    </w:p>
    <w:p w:rsidR="00586A79" w:rsidRDefault="00E636C3" w:rsidP="00323D1D">
      <w:pPr>
        <w:pStyle w:val="Default"/>
        <w:rPr>
          <w:sz w:val="22"/>
          <w:szCs w:val="22"/>
        </w:rPr>
      </w:pPr>
      <w:r>
        <w:rPr>
          <w:sz w:val="22"/>
          <w:szCs w:val="22"/>
        </w:rPr>
        <w:t>8</w:t>
      </w:r>
      <w:r w:rsidR="00586A79">
        <w:rPr>
          <w:sz w:val="22"/>
          <w:szCs w:val="22"/>
        </w:rPr>
        <w:t>.</w:t>
      </w:r>
      <w:r w:rsidR="00FE5730">
        <w:rPr>
          <w:sz w:val="22"/>
          <w:szCs w:val="22"/>
        </w:rPr>
        <w:t>7</w:t>
      </w:r>
      <w:r w:rsidR="00586A79">
        <w:rPr>
          <w:sz w:val="22"/>
          <w:szCs w:val="22"/>
        </w:rPr>
        <w:t xml:space="preserve"> Police and prosecutors should familiarise themselves with Table 3 of the </w:t>
      </w:r>
      <w:hyperlink r:id="rId42" w:history="1">
        <w:r w:rsidR="00B272D9">
          <w:rPr>
            <w:rStyle w:val="Hyperlink"/>
            <w:rFonts w:cs="Arial"/>
            <w:sz w:val="22"/>
            <w:szCs w:val="22"/>
          </w:rPr>
          <w:t>Toolkit for prosecutors on VAWG cases involving vulnerable victims</w:t>
        </w:r>
      </w:hyperlink>
      <w:r w:rsidR="00586A79">
        <w:rPr>
          <w:sz w:val="22"/>
          <w:szCs w:val="22"/>
        </w:rPr>
        <w:t xml:space="preserve">, which outlines the support that should be given to vulnerable </w:t>
      </w:r>
      <w:r w:rsidR="006839B5">
        <w:rPr>
          <w:sz w:val="22"/>
          <w:szCs w:val="22"/>
        </w:rPr>
        <w:t xml:space="preserve">victims </w:t>
      </w:r>
      <w:r w:rsidR="00586A79">
        <w:rPr>
          <w:sz w:val="22"/>
          <w:szCs w:val="22"/>
        </w:rPr>
        <w:t xml:space="preserve">throughout the </w:t>
      </w:r>
      <w:r w:rsidR="00F80100">
        <w:rPr>
          <w:sz w:val="22"/>
          <w:szCs w:val="22"/>
        </w:rPr>
        <w:t>CJS</w:t>
      </w:r>
      <w:r w:rsidR="00586A79">
        <w:rPr>
          <w:sz w:val="22"/>
          <w:szCs w:val="22"/>
        </w:rPr>
        <w:t>.</w:t>
      </w:r>
    </w:p>
    <w:p w:rsidR="00586A79" w:rsidRDefault="00586A79" w:rsidP="00323D1D">
      <w:pPr>
        <w:pStyle w:val="Default"/>
        <w:rPr>
          <w:sz w:val="22"/>
          <w:szCs w:val="22"/>
        </w:rPr>
      </w:pPr>
    </w:p>
    <w:p w:rsidR="00586A79" w:rsidRPr="00112178" w:rsidRDefault="00E636C3" w:rsidP="00323D1D">
      <w:pPr>
        <w:pStyle w:val="Default"/>
        <w:rPr>
          <w:sz w:val="22"/>
          <w:szCs w:val="22"/>
        </w:rPr>
      </w:pPr>
      <w:r>
        <w:rPr>
          <w:sz w:val="22"/>
          <w:szCs w:val="22"/>
        </w:rPr>
        <w:t>8</w:t>
      </w:r>
      <w:r w:rsidR="00586A79">
        <w:rPr>
          <w:sz w:val="22"/>
          <w:szCs w:val="22"/>
        </w:rPr>
        <w:t>.</w:t>
      </w:r>
      <w:r w:rsidR="00FE5730">
        <w:rPr>
          <w:sz w:val="22"/>
          <w:szCs w:val="22"/>
        </w:rPr>
        <w:t>8</w:t>
      </w:r>
      <w:r w:rsidR="00586A79" w:rsidRPr="00112178">
        <w:rPr>
          <w:sz w:val="22"/>
          <w:szCs w:val="22"/>
        </w:rPr>
        <w:t xml:space="preserve"> The police will ensure that in every case the </w:t>
      </w:r>
      <w:r w:rsidR="003013D7">
        <w:rPr>
          <w:sz w:val="22"/>
          <w:szCs w:val="22"/>
        </w:rPr>
        <w:t>complainant</w:t>
      </w:r>
      <w:r w:rsidR="00586A79" w:rsidRPr="00112178">
        <w:rPr>
          <w:sz w:val="22"/>
          <w:szCs w:val="22"/>
        </w:rPr>
        <w:t xml:space="preserve"> has the opportunity to provide a </w:t>
      </w:r>
      <w:r w:rsidR="00B91564">
        <w:rPr>
          <w:sz w:val="22"/>
          <w:szCs w:val="22"/>
        </w:rPr>
        <w:t xml:space="preserve">Victim </w:t>
      </w:r>
      <w:r w:rsidR="00586A79" w:rsidRPr="00112178">
        <w:rPr>
          <w:sz w:val="22"/>
          <w:szCs w:val="22"/>
        </w:rPr>
        <w:t xml:space="preserve">Personal Statement (VPS). </w:t>
      </w:r>
      <w:r w:rsidR="00586A79">
        <w:rPr>
          <w:sz w:val="22"/>
          <w:szCs w:val="22"/>
        </w:rPr>
        <w:t xml:space="preserve"> </w:t>
      </w:r>
      <w:r w:rsidR="00586A79" w:rsidRPr="00112178">
        <w:rPr>
          <w:sz w:val="22"/>
          <w:szCs w:val="22"/>
        </w:rPr>
        <w:t xml:space="preserve">In all cases, the VPS and the information about the </w:t>
      </w:r>
      <w:r w:rsidR="003013D7">
        <w:rPr>
          <w:sz w:val="22"/>
          <w:szCs w:val="22"/>
        </w:rPr>
        <w:t>complainant</w:t>
      </w:r>
      <w:r w:rsidR="00586A79" w:rsidRPr="00112178">
        <w:rPr>
          <w:sz w:val="22"/>
          <w:szCs w:val="22"/>
        </w:rPr>
        <w:t xml:space="preserve">’s preference will be relayed to the court at the first hearing by the CPS advocate. </w:t>
      </w:r>
      <w:r w:rsidR="004879C2">
        <w:rPr>
          <w:sz w:val="22"/>
          <w:szCs w:val="22"/>
        </w:rPr>
        <w:t xml:space="preserve"> The VPS can be read aloud in court by the </w:t>
      </w:r>
      <w:r w:rsidR="003013D7">
        <w:rPr>
          <w:sz w:val="22"/>
          <w:szCs w:val="22"/>
        </w:rPr>
        <w:t>complainant</w:t>
      </w:r>
      <w:r w:rsidR="004879C2">
        <w:rPr>
          <w:sz w:val="22"/>
          <w:szCs w:val="22"/>
        </w:rPr>
        <w:t xml:space="preserve"> or someone on the </w:t>
      </w:r>
      <w:r w:rsidR="003013D7">
        <w:rPr>
          <w:sz w:val="22"/>
          <w:szCs w:val="22"/>
        </w:rPr>
        <w:t>complainant</w:t>
      </w:r>
      <w:r w:rsidR="004879C2">
        <w:rPr>
          <w:sz w:val="22"/>
          <w:szCs w:val="22"/>
        </w:rPr>
        <w:t>’s behalf; this decision is at the discretion of the court.</w:t>
      </w:r>
    </w:p>
    <w:p w:rsidR="00586A79" w:rsidRDefault="00586A79" w:rsidP="00323D1D">
      <w:pPr>
        <w:pStyle w:val="Default"/>
        <w:rPr>
          <w:b/>
          <w:bCs/>
          <w:i/>
          <w:sz w:val="22"/>
          <w:szCs w:val="22"/>
        </w:rPr>
      </w:pPr>
    </w:p>
    <w:p w:rsidR="00586A79" w:rsidRPr="00F7706A" w:rsidRDefault="00E636C3" w:rsidP="00323D1D">
      <w:pPr>
        <w:pStyle w:val="Default"/>
        <w:rPr>
          <w:sz w:val="22"/>
          <w:szCs w:val="22"/>
          <w:lang w:eastAsia="en-GB"/>
        </w:rPr>
      </w:pPr>
      <w:r>
        <w:rPr>
          <w:bCs/>
          <w:sz w:val="22"/>
          <w:szCs w:val="22"/>
        </w:rPr>
        <w:t>8</w:t>
      </w:r>
      <w:r w:rsidR="00586A79">
        <w:rPr>
          <w:bCs/>
          <w:sz w:val="22"/>
          <w:szCs w:val="22"/>
        </w:rPr>
        <w:t>.</w:t>
      </w:r>
      <w:r w:rsidR="00FE5730">
        <w:rPr>
          <w:bCs/>
          <w:sz w:val="22"/>
          <w:szCs w:val="22"/>
        </w:rPr>
        <w:t>9</w:t>
      </w:r>
      <w:r w:rsidR="00586A79">
        <w:rPr>
          <w:bCs/>
          <w:sz w:val="22"/>
          <w:szCs w:val="22"/>
        </w:rPr>
        <w:t xml:space="preserve"> </w:t>
      </w:r>
      <w:r w:rsidR="00586A79" w:rsidRPr="00F7706A">
        <w:rPr>
          <w:sz w:val="22"/>
          <w:szCs w:val="22"/>
          <w:lang w:eastAsia="en-GB"/>
        </w:rPr>
        <w:t>When selecting interpreters, care must be taken to ensure that they have an understanding of the culture</w:t>
      </w:r>
      <w:r w:rsidR="00586A79">
        <w:rPr>
          <w:sz w:val="22"/>
          <w:szCs w:val="22"/>
          <w:lang w:eastAsia="en-GB"/>
        </w:rPr>
        <w:t>, speak the same language/dialect and where possible are sensitised to issues of gender based violence in BME communities</w:t>
      </w:r>
      <w:r w:rsidR="00586A79" w:rsidRPr="00F7706A">
        <w:rPr>
          <w:sz w:val="22"/>
          <w:szCs w:val="22"/>
          <w:lang w:eastAsia="en-GB"/>
        </w:rPr>
        <w:t>. Experience has led to concern</w:t>
      </w:r>
      <w:r w:rsidR="00586A79">
        <w:rPr>
          <w:sz w:val="22"/>
          <w:szCs w:val="22"/>
          <w:lang w:eastAsia="en-GB"/>
        </w:rPr>
        <w:t>s</w:t>
      </w:r>
      <w:r w:rsidR="00586A79" w:rsidRPr="00F7706A">
        <w:rPr>
          <w:sz w:val="22"/>
          <w:szCs w:val="22"/>
          <w:lang w:eastAsia="en-GB"/>
        </w:rPr>
        <w:t xml:space="preserve"> about interpreters and translators who are not on the approved list and who may often be part of the family or linked to the group suspected of carrying out the crime.</w:t>
      </w:r>
      <w:r w:rsidR="000B2E72">
        <w:rPr>
          <w:sz w:val="22"/>
          <w:szCs w:val="22"/>
          <w:lang w:eastAsia="en-GB"/>
        </w:rPr>
        <w:t xml:space="preserve">  </w:t>
      </w:r>
      <w:r w:rsidR="000B2E72" w:rsidRPr="000B2E72">
        <w:rPr>
          <w:sz w:val="22"/>
          <w:szCs w:val="22"/>
          <w:lang w:eastAsia="en-GB"/>
        </w:rPr>
        <w:t xml:space="preserve">The selection of the right interpreter is essential given the potential risks for the details of the </w:t>
      </w:r>
      <w:r w:rsidR="003013D7">
        <w:rPr>
          <w:sz w:val="22"/>
          <w:szCs w:val="22"/>
          <w:lang w:eastAsia="en-GB"/>
        </w:rPr>
        <w:t>complainant</w:t>
      </w:r>
      <w:r w:rsidR="000B2E72" w:rsidRPr="000B2E72">
        <w:rPr>
          <w:sz w:val="22"/>
          <w:szCs w:val="22"/>
          <w:lang w:eastAsia="en-GB"/>
        </w:rPr>
        <w:t xml:space="preserve">’s account to be inappropriately disclosed to the </w:t>
      </w:r>
      <w:r w:rsidR="005E16CC">
        <w:rPr>
          <w:sz w:val="22"/>
          <w:szCs w:val="22"/>
          <w:lang w:eastAsia="en-GB"/>
        </w:rPr>
        <w:t xml:space="preserve">suspects </w:t>
      </w:r>
      <w:r w:rsidR="000B2E72" w:rsidRPr="000B2E72">
        <w:rPr>
          <w:sz w:val="22"/>
          <w:szCs w:val="22"/>
          <w:lang w:eastAsia="en-GB"/>
        </w:rPr>
        <w:t>and/or other community members or</w:t>
      </w:r>
      <w:r w:rsidR="00E75C85">
        <w:rPr>
          <w:sz w:val="22"/>
          <w:szCs w:val="22"/>
          <w:lang w:eastAsia="en-GB"/>
        </w:rPr>
        <w:t xml:space="preserve"> for</w:t>
      </w:r>
      <w:r w:rsidR="000B2E72" w:rsidRPr="000B2E72">
        <w:rPr>
          <w:sz w:val="22"/>
          <w:szCs w:val="22"/>
          <w:lang w:eastAsia="en-GB"/>
        </w:rPr>
        <w:t xml:space="preserve"> the </w:t>
      </w:r>
      <w:r w:rsidR="003013D7">
        <w:rPr>
          <w:sz w:val="22"/>
          <w:szCs w:val="22"/>
          <w:lang w:eastAsia="en-GB"/>
        </w:rPr>
        <w:t>complainant</w:t>
      </w:r>
      <w:r w:rsidR="00E75C85">
        <w:rPr>
          <w:sz w:val="22"/>
          <w:szCs w:val="22"/>
          <w:lang w:eastAsia="en-GB"/>
        </w:rPr>
        <w:t xml:space="preserve"> to</w:t>
      </w:r>
      <w:r w:rsidR="000B2E72" w:rsidRPr="000B2E72">
        <w:rPr>
          <w:sz w:val="22"/>
          <w:szCs w:val="22"/>
          <w:lang w:eastAsia="en-GB"/>
        </w:rPr>
        <w:t xml:space="preserve"> be threatened or intimidated </w:t>
      </w:r>
      <w:r w:rsidR="00E75C85">
        <w:rPr>
          <w:sz w:val="22"/>
          <w:szCs w:val="22"/>
          <w:lang w:eastAsia="en-GB"/>
        </w:rPr>
        <w:t>by</w:t>
      </w:r>
      <w:r w:rsidR="000B2E72" w:rsidRPr="000B2E72">
        <w:rPr>
          <w:sz w:val="22"/>
          <w:szCs w:val="22"/>
          <w:lang w:eastAsia="en-GB"/>
        </w:rPr>
        <w:t xml:space="preserve"> the interpreter. </w:t>
      </w:r>
      <w:r w:rsidR="00586A79">
        <w:rPr>
          <w:sz w:val="22"/>
          <w:szCs w:val="22"/>
          <w:lang w:eastAsia="en-GB"/>
        </w:rPr>
        <w:t>Police and p</w:t>
      </w:r>
      <w:r w:rsidR="00586A79" w:rsidRPr="00200891">
        <w:rPr>
          <w:sz w:val="22"/>
          <w:szCs w:val="22"/>
        </w:rPr>
        <w:t>rosecutors should consult</w:t>
      </w:r>
      <w:r w:rsidR="00586A79">
        <w:rPr>
          <w:sz w:val="22"/>
          <w:szCs w:val="22"/>
        </w:rPr>
        <w:t xml:space="preserve"> </w:t>
      </w:r>
      <w:hyperlink r:id="rId43" w:history="1">
        <w:r w:rsidR="00586A79">
          <w:rPr>
            <w:rStyle w:val="Hyperlink"/>
            <w:rFonts w:cs="Arial"/>
            <w:sz w:val="22"/>
            <w:szCs w:val="22"/>
          </w:rPr>
          <w:t>CPS guidance on the use of interpreters</w:t>
        </w:r>
      </w:hyperlink>
      <w:r w:rsidR="00586A79">
        <w:rPr>
          <w:sz w:val="22"/>
          <w:szCs w:val="22"/>
        </w:rPr>
        <w:t>.</w:t>
      </w:r>
    </w:p>
    <w:p w:rsidR="00586A79" w:rsidRPr="007C049B" w:rsidRDefault="00586A79" w:rsidP="00323D1D">
      <w:pPr>
        <w:pStyle w:val="Default"/>
        <w:rPr>
          <w:bCs/>
          <w:sz w:val="22"/>
          <w:szCs w:val="22"/>
        </w:rPr>
      </w:pPr>
    </w:p>
    <w:p w:rsidR="00586A79" w:rsidRDefault="00E636C3" w:rsidP="00303EF7">
      <w:pPr>
        <w:pStyle w:val="Default"/>
        <w:rPr>
          <w:sz w:val="22"/>
          <w:szCs w:val="22"/>
        </w:rPr>
      </w:pPr>
      <w:r>
        <w:rPr>
          <w:bCs/>
          <w:sz w:val="22"/>
          <w:szCs w:val="22"/>
        </w:rPr>
        <w:t>8</w:t>
      </w:r>
      <w:r w:rsidR="00FE5730">
        <w:rPr>
          <w:bCs/>
          <w:sz w:val="22"/>
          <w:szCs w:val="22"/>
        </w:rPr>
        <w:t>.10</w:t>
      </w:r>
      <w:r w:rsidR="00586A79" w:rsidRPr="00B6414C">
        <w:rPr>
          <w:bCs/>
          <w:sz w:val="22"/>
          <w:szCs w:val="22"/>
        </w:rPr>
        <w:t xml:space="preserve"> </w:t>
      </w:r>
      <w:r w:rsidR="00586A79">
        <w:rPr>
          <w:bCs/>
          <w:sz w:val="22"/>
          <w:szCs w:val="22"/>
        </w:rPr>
        <w:t xml:space="preserve">The immigration status of the </w:t>
      </w:r>
      <w:r w:rsidR="003013D7">
        <w:rPr>
          <w:bCs/>
          <w:sz w:val="22"/>
          <w:szCs w:val="22"/>
        </w:rPr>
        <w:t>complainant</w:t>
      </w:r>
      <w:r w:rsidR="00586A79">
        <w:rPr>
          <w:bCs/>
          <w:sz w:val="22"/>
          <w:szCs w:val="22"/>
        </w:rPr>
        <w:t xml:space="preserve"> may need to be considered.  </w:t>
      </w:r>
      <w:r w:rsidR="003013D7">
        <w:rPr>
          <w:sz w:val="22"/>
          <w:szCs w:val="22"/>
        </w:rPr>
        <w:t>Complainant</w:t>
      </w:r>
      <w:r w:rsidR="00586A79" w:rsidRPr="00303EF7">
        <w:rPr>
          <w:sz w:val="22"/>
          <w:szCs w:val="22"/>
        </w:rPr>
        <w:t xml:space="preserve">s with an insecure immigration status are particularly vulnerable as their rights to settlement or public funds, such as social security benefits and public housing, may be limited. They may be reluctant to come forward to seek help as they may fear deportation and/or destitution. </w:t>
      </w:r>
      <w:r w:rsidR="00000571">
        <w:rPr>
          <w:sz w:val="22"/>
          <w:szCs w:val="22"/>
        </w:rPr>
        <w:t xml:space="preserve"> </w:t>
      </w:r>
    </w:p>
    <w:p w:rsidR="00586A79" w:rsidRDefault="00586A79" w:rsidP="00303EF7">
      <w:pPr>
        <w:pStyle w:val="Default"/>
        <w:rPr>
          <w:sz w:val="22"/>
          <w:szCs w:val="22"/>
        </w:rPr>
      </w:pPr>
    </w:p>
    <w:p w:rsidR="00586A79" w:rsidRDefault="00E636C3" w:rsidP="00323D1D">
      <w:pPr>
        <w:pStyle w:val="Default"/>
        <w:rPr>
          <w:bCs/>
          <w:sz w:val="22"/>
          <w:szCs w:val="22"/>
        </w:rPr>
      </w:pPr>
      <w:r>
        <w:rPr>
          <w:sz w:val="22"/>
          <w:szCs w:val="22"/>
        </w:rPr>
        <w:t>8</w:t>
      </w:r>
      <w:r w:rsidR="00FE5730">
        <w:rPr>
          <w:sz w:val="22"/>
          <w:szCs w:val="22"/>
        </w:rPr>
        <w:t>.11</w:t>
      </w:r>
      <w:r w:rsidR="00586A79">
        <w:rPr>
          <w:sz w:val="22"/>
          <w:szCs w:val="22"/>
        </w:rPr>
        <w:t xml:space="preserve"> </w:t>
      </w:r>
      <w:r w:rsidR="001B6B9B">
        <w:rPr>
          <w:sz w:val="22"/>
          <w:szCs w:val="22"/>
        </w:rPr>
        <w:t>I</w:t>
      </w:r>
      <w:r w:rsidR="00586A79" w:rsidRPr="00303EF7">
        <w:rPr>
          <w:sz w:val="22"/>
          <w:szCs w:val="22"/>
        </w:rPr>
        <w:t>nvestigators</w:t>
      </w:r>
      <w:r w:rsidR="001B6B9B">
        <w:rPr>
          <w:sz w:val="22"/>
          <w:szCs w:val="22"/>
        </w:rPr>
        <w:t>, prosecutors</w:t>
      </w:r>
      <w:r w:rsidR="00586A79" w:rsidRPr="00303EF7">
        <w:rPr>
          <w:sz w:val="22"/>
          <w:szCs w:val="22"/>
        </w:rPr>
        <w:t xml:space="preserve"> and </w:t>
      </w:r>
      <w:r w:rsidR="00586A79" w:rsidRPr="00854C75">
        <w:rPr>
          <w:caps/>
          <w:sz w:val="22"/>
          <w:szCs w:val="22"/>
        </w:rPr>
        <w:t>w</w:t>
      </w:r>
      <w:r w:rsidR="00586A79" w:rsidRPr="00303EF7">
        <w:rPr>
          <w:sz w:val="22"/>
          <w:szCs w:val="22"/>
        </w:rPr>
        <w:t xml:space="preserve">itness </w:t>
      </w:r>
      <w:r w:rsidR="00586A79" w:rsidRPr="00854C75">
        <w:rPr>
          <w:caps/>
          <w:sz w:val="22"/>
          <w:szCs w:val="22"/>
        </w:rPr>
        <w:t>c</w:t>
      </w:r>
      <w:r w:rsidR="00586A79" w:rsidRPr="00303EF7">
        <w:rPr>
          <w:sz w:val="22"/>
          <w:szCs w:val="22"/>
        </w:rPr>
        <w:t xml:space="preserve">are </w:t>
      </w:r>
      <w:r w:rsidR="00586A79" w:rsidRPr="00854C75">
        <w:rPr>
          <w:caps/>
          <w:sz w:val="22"/>
          <w:szCs w:val="22"/>
        </w:rPr>
        <w:t>u</w:t>
      </w:r>
      <w:r w:rsidR="00586A79" w:rsidRPr="00303EF7">
        <w:rPr>
          <w:sz w:val="22"/>
          <w:szCs w:val="22"/>
        </w:rPr>
        <w:t xml:space="preserve">nits need to know what support agencies are available for </w:t>
      </w:r>
      <w:r w:rsidR="003013D7">
        <w:rPr>
          <w:sz w:val="22"/>
          <w:szCs w:val="22"/>
        </w:rPr>
        <w:t>complainant</w:t>
      </w:r>
      <w:r w:rsidR="00586A79" w:rsidRPr="00303EF7">
        <w:rPr>
          <w:sz w:val="22"/>
          <w:szCs w:val="22"/>
        </w:rPr>
        <w:t>s within their local area, nationally, and internationally.</w:t>
      </w:r>
      <w:r w:rsidR="00687E5A">
        <w:rPr>
          <w:sz w:val="22"/>
          <w:szCs w:val="22"/>
        </w:rPr>
        <w:t xml:space="preserve">  </w:t>
      </w:r>
      <w:r w:rsidR="003013D7">
        <w:rPr>
          <w:sz w:val="22"/>
          <w:szCs w:val="22"/>
        </w:rPr>
        <w:t>Complainant</w:t>
      </w:r>
      <w:r w:rsidR="00687E5A">
        <w:rPr>
          <w:sz w:val="22"/>
          <w:szCs w:val="22"/>
        </w:rPr>
        <w:t>s must always be afforded the oppor</w:t>
      </w:r>
      <w:r w:rsidR="008B03AF">
        <w:rPr>
          <w:sz w:val="22"/>
          <w:szCs w:val="22"/>
        </w:rPr>
        <w:t>tunity to be referred to specialist VAWG</w:t>
      </w:r>
      <w:r w:rsidR="00687E5A">
        <w:rPr>
          <w:sz w:val="22"/>
          <w:szCs w:val="22"/>
        </w:rPr>
        <w:t xml:space="preserve"> services and not subject to automatic referral without their consent.</w:t>
      </w:r>
      <w:r w:rsidR="00586A79" w:rsidRPr="00303EF7">
        <w:rPr>
          <w:sz w:val="22"/>
          <w:szCs w:val="22"/>
        </w:rPr>
        <w:t xml:space="preserve">  </w:t>
      </w:r>
      <w:r w:rsidR="00586A79" w:rsidRPr="00303EF7">
        <w:rPr>
          <w:bCs/>
          <w:sz w:val="22"/>
          <w:szCs w:val="22"/>
        </w:rPr>
        <w:t xml:space="preserve">The police must endeavour to ensure the </w:t>
      </w:r>
      <w:r w:rsidR="003013D7">
        <w:rPr>
          <w:bCs/>
          <w:sz w:val="22"/>
          <w:szCs w:val="22"/>
        </w:rPr>
        <w:t>complainant</w:t>
      </w:r>
      <w:r w:rsidR="00586A79" w:rsidRPr="00303EF7">
        <w:rPr>
          <w:bCs/>
          <w:sz w:val="22"/>
          <w:szCs w:val="22"/>
        </w:rPr>
        <w:t xml:space="preserve"> is provided with access to such support</w:t>
      </w:r>
      <w:r w:rsidR="00687E5A">
        <w:rPr>
          <w:rStyle w:val="FootnoteReference"/>
          <w:bCs/>
          <w:sz w:val="22"/>
          <w:szCs w:val="22"/>
        </w:rPr>
        <w:footnoteReference w:id="15"/>
      </w:r>
      <w:r w:rsidR="00586A79" w:rsidRPr="00303EF7">
        <w:rPr>
          <w:bCs/>
          <w:sz w:val="22"/>
          <w:szCs w:val="22"/>
        </w:rPr>
        <w:t>.</w:t>
      </w:r>
      <w:r w:rsidR="00586A79">
        <w:rPr>
          <w:bCs/>
          <w:sz w:val="22"/>
          <w:szCs w:val="22"/>
        </w:rPr>
        <w:t xml:space="preserve">  Police and prosecutors should refer to the </w:t>
      </w:r>
      <w:hyperlink r:id="rId44" w:history="1">
        <w:r w:rsidR="00586A79">
          <w:rPr>
            <w:rStyle w:val="Hyperlink"/>
            <w:rFonts w:cs="Arial"/>
            <w:bCs/>
            <w:sz w:val="22"/>
            <w:szCs w:val="22"/>
          </w:rPr>
          <w:t>Domestic Abuse Guidelines for Prosecutors</w:t>
        </w:r>
      </w:hyperlink>
      <w:r w:rsidR="00586A79">
        <w:rPr>
          <w:bCs/>
          <w:sz w:val="22"/>
          <w:szCs w:val="22"/>
        </w:rPr>
        <w:t xml:space="preserve"> and the </w:t>
      </w:r>
      <w:hyperlink r:id="rId45" w:history="1">
        <w:r w:rsidR="00586A79">
          <w:rPr>
            <w:rStyle w:val="Hyperlink"/>
            <w:rFonts w:cs="Arial"/>
            <w:bCs/>
            <w:sz w:val="22"/>
            <w:szCs w:val="22"/>
          </w:rPr>
          <w:t>UK Border Agency (UKBA) Website</w:t>
        </w:r>
      </w:hyperlink>
      <w:r w:rsidR="00586A79">
        <w:rPr>
          <w:bCs/>
          <w:sz w:val="22"/>
          <w:szCs w:val="22"/>
        </w:rPr>
        <w:t>.</w:t>
      </w:r>
    </w:p>
    <w:p w:rsidR="00AD4598" w:rsidRDefault="00AD4598" w:rsidP="00323D1D">
      <w:pPr>
        <w:pStyle w:val="Default"/>
        <w:rPr>
          <w:bCs/>
          <w:sz w:val="22"/>
          <w:szCs w:val="22"/>
        </w:rPr>
      </w:pPr>
    </w:p>
    <w:p w:rsidR="00AD4598" w:rsidRDefault="00AD4598" w:rsidP="00323D1D">
      <w:pPr>
        <w:pStyle w:val="Default"/>
        <w:rPr>
          <w:bCs/>
          <w:sz w:val="22"/>
          <w:szCs w:val="22"/>
        </w:rPr>
      </w:pPr>
      <w:r>
        <w:rPr>
          <w:bCs/>
          <w:sz w:val="22"/>
          <w:szCs w:val="22"/>
        </w:rPr>
        <w:t>8.1</w:t>
      </w:r>
      <w:r w:rsidR="00FE5730">
        <w:rPr>
          <w:bCs/>
          <w:sz w:val="22"/>
          <w:szCs w:val="22"/>
        </w:rPr>
        <w:t>2</w:t>
      </w:r>
      <w:r>
        <w:rPr>
          <w:bCs/>
          <w:sz w:val="22"/>
          <w:szCs w:val="22"/>
        </w:rPr>
        <w:t xml:space="preserve"> </w:t>
      </w:r>
      <w:r w:rsidR="00CD6A50" w:rsidRPr="00CD6A50">
        <w:rPr>
          <w:bCs/>
          <w:sz w:val="22"/>
          <w:szCs w:val="22"/>
          <w:lang w:val="en"/>
        </w:rPr>
        <w:t xml:space="preserve">Section 173 of the Policing and Crime Act 2017 </w:t>
      </w:r>
      <w:r w:rsidR="00CD6A50" w:rsidRPr="00CD6A50">
        <w:rPr>
          <w:bCs/>
          <w:sz w:val="22"/>
          <w:szCs w:val="22"/>
        </w:rPr>
        <w:t xml:space="preserve">makes provision for the </w:t>
      </w:r>
      <w:r w:rsidR="00CD6A50" w:rsidRPr="00CD6A50">
        <w:rPr>
          <w:bCs/>
          <w:sz w:val="22"/>
          <w:szCs w:val="22"/>
          <w:lang w:val="en"/>
        </w:rPr>
        <w:t xml:space="preserve">lifelong anonymity for </w:t>
      </w:r>
      <w:r w:rsidR="003013D7">
        <w:rPr>
          <w:bCs/>
          <w:sz w:val="22"/>
          <w:szCs w:val="22"/>
          <w:lang w:val="en"/>
        </w:rPr>
        <w:t>complainant</w:t>
      </w:r>
      <w:r w:rsidR="00CD6A50" w:rsidRPr="00CD6A50">
        <w:rPr>
          <w:bCs/>
          <w:sz w:val="22"/>
          <w:szCs w:val="22"/>
          <w:lang w:val="en"/>
        </w:rPr>
        <w:t xml:space="preserve">s of FM. The protection applies from the time an allegation is made. From that point, the publication or broadcast of any information likely to result in the identity of a </w:t>
      </w:r>
      <w:r w:rsidR="003013D7">
        <w:rPr>
          <w:bCs/>
          <w:sz w:val="22"/>
          <w:szCs w:val="22"/>
          <w:lang w:val="en"/>
        </w:rPr>
        <w:t>complainant</w:t>
      </w:r>
      <w:r w:rsidR="00CD6A50" w:rsidRPr="00CD6A50">
        <w:rPr>
          <w:bCs/>
          <w:sz w:val="22"/>
          <w:szCs w:val="22"/>
          <w:lang w:val="en"/>
        </w:rPr>
        <w:t xml:space="preserve"> being identified to members of the public will be prohibited. The protection given is broad and wide-ranging; it covers traditional print and broadcast media as well as information published online, including on social media. It will be an offence to publish information in contravention of the prohibition (the maximum penalty for the offence is an unlimited fine). </w:t>
      </w:r>
      <w:r w:rsidR="00CD6A50">
        <w:rPr>
          <w:bCs/>
          <w:sz w:val="22"/>
          <w:szCs w:val="22"/>
          <w:lang w:val="en"/>
        </w:rPr>
        <w:t xml:space="preserve">Please refer to the </w:t>
      </w:r>
      <w:hyperlink r:id="rId46" w:history="1">
        <w:r w:rsidR="00CD6A50">
          <w:rPr>
            <w:rStyle w:val="Hyperlink"/>
            <w:rFonts w:cs="Arial"/>
            <w:bCs/>
            <w:sz w:val="22"/>
            <w:szCs w:val="22"/>
            <w:lang w:val="en"/>
          </w:rPr>
          <w:t>CPS HBV and FM Legal Guidance</w:t>
        </w:r>
      </w:hyperlink>
      <w:r w:rsidR="00CD6A50">
        <w:rPr>
          <w:bCs/>
          <w:sz w:val="22"/>
          <w:szCs w:val="22"/>
          <w:lang w:val="en"/>
        </w:rPr>
        <w:t xml:space="preserve"> for further information. </w:t>
      </w:r>
    </w:p>
    <w:p w:rsidR="00586A79" w:rsidRDefault="00586A79" w:rsidP="00323D1D">
      <w:pPr>
        <w:pStyle w:val="Default"/>
        <w:rPr>
          <w:bCs/>
          <w:sz w:val="22"/>
          <w:szCs w:val="22"/>
        </w:rPr>
      </w:pPr>
    </w:p>
    <w:p w:rsidR="00586A79" w:rsidRPr="00D1594F" w:rsidRDefault="00E636C3" w:rsidP="00417EEF">
      <w:pPr>
        <w:rPr>
          <w:rFonts w:ascii="Arial" w:hAnsi="Arial" w:cs="Arial"/>
        </w:rPr>
      </w:pPr>
      <w:bookmarkStart w:id="8" w:name="Section9"/>
      <w:r>
        <w:rPr>
          <w:rFonts w:ascii="Arial" w:hAnsi="Arial" w:cs="Arial"/>
          <w:b/>
          <w:bCs/>
        </w:rPr>
        <w:t>9</w:t>
      </w:r>
      <w:r w:rsidR="00586A79" w:rsidRPr="00D1594F">
        <w:rPr>
          <w:rFonts w:ascii="Arial" w:hAnsi="Arial" w:cs="Arial"/>
          <w:b/>
          <w:bCs/>
        </w:rPr>
        <w:t>.</w:t>
      </w:r>
      <w:r w:rsidR="00586A79">
        <w:rPr>
          <w:rFonts w:ascii="Arial" w:hAnsi="Arial" w:cs="Arial"/>
          <w:b/>
          <w:bCs/>
        </w:rPr>
        <w:t xml:space="preserve"> SECTION </w:t>
      </w:r>
      <w:r>
        <w:rPr>
          <w:rFonts w:ascii="Arial" w:hAnsi="Arial" w:cs="Arial"/>
          <w:b/>
          <w:bCs/>
        </w:rPr>
        <w:t>9</w:t>
      </w:r>
      <w:r w:rsidR="00586A79" w:rsidRPr="00D1594F">
        <w:rPr>
          <w:rFonts w:ascii="Arial" w:hAnsi="Arial" w:cs="Arial"/>
          <w:b/>
          <w:bCs/>
        </w:rPr>
        <w:t xml:space="preserve"> – TRIAL </w:t>
      </w:r>
    </w:p>
    <w:bookmarkEnd w:id="8"/>
    <w:p w:rsidR="00586A79" w:rsidRPr="00D1594F" w:rsidRDefault="00586A79" w:rsidP="00417EEF">
      <w:pPr>
        <w:rPr>
          <w:rFonts w:ascii="Arial" w:hAnsi="Arial" w:cs="Arial"/>
        </w:rPr>
      </w:pPr>
    </w:p>
    <w:p w:rsidR="00586A79" w:rsidRDefault="00E636C3" w:rsidP="00417EEF">
      <w:pPr>
        <w:rPr>
          <w:rFonts w:ascii="Arial" w:hAnsi="Arial" w:cs="Arial"/>
        </w:rPr>
      </w:pPr>
      <w:r>
        <w:rPr>
          <w:rFonts w:ascii="Arial" w:hAnsi="Arial" w:cs="Arial"/>
        </w:rPr>
        <w:t>9</w:t>
      </w:r>
      <w:r w:rsidR="00586A79" w:rsidRPr="00D1594F">
        <w:rPr>
          <w:rFonts w:ascii="Arial" w:hAnsi="Arial" w:cs="Arial"/>
        </w:rPr>
        <w:t xml:space="preserve">.1 </w:t>
      </w:r>
      <w:r w:rsidR="00586A79">
        <w:rPr>
          <w:rFonts w:ascii="Arial" w:hAnsi="Arial" w:cs="Arial"/>
        </w:rPr>
        <w:t>Prosecutors should familiarise themselves with t</w:t>
      </w:r>
      <w:r w:rsidR="00586A79" w:rsidRPr="008D10F4">
        <w:rPr>
          <w:rFonts w:ascii="Arial" w:hAnsi="Arial" w:cs="Arial"/>
        </w:rPr>
        <w:t xml:space="preserve">he </w:t>
      </w:r>
      <w:hyperlink r:id="rId47" w:history="1">
        <w:r w:rsidR="00B272D9" w:rsidRPr="00EA56BB">
          <w:rPr>
            <w:rStyle w:val="Hyperlink"/>
            <w:rFonts w:ascii="Arial" w:hAnsi="Arial" w:cs="Arial"/>
          </w:rPr>
          <w:t xml:space="preserve">CPS Speaking to Witnesses at Court Guidance </w:t>
        </w:r>
      </w:hyperlink>
      <w:r w:rsidR="00586A79">
        <w:rPr>
          <w:rFonts w:ascii="Arial" w:hAnsi="Arial" w:cs="Arial"/>
        </w:rPr>
        <w:t xml:space="preserve"> which</w:t>
      </w:r>
      <w:r w:rsidR="00586A79" w:rsidRPr="008D10F4">
        <w:rPr>
          <w:rFonts w:ascii="Arial" w:hAnsi="Arial" w:cs="Arial"/>
        </w:rPr>
        <w:t xml:space="preserve"> emphasises the need to ensure witnesses are properly assisted and know more about what to expect before they give their evidence.  It sets out what is expected of prosecution advocates, outlining what they can and cannot say to witnesses and explaining the difference between assisting a witness to be better able to deal with the rigors of giving evidence and witness coaching.  </w:t>
      </w:r>
    </w:p>
    <w:p w:rsidR="00586A79" w:rsidRDefault="00586A79" w:rsidP="00417EEF">
      <w:pPr>
        <w:rPr>
          <w:rFonts w:ascii="Arial" w:hAnsi="Arial" w:cs="Arial"/>
        </w:rPr>
      </w:pPr>
    </w:p>
    <w:p w:rsidR="00586A79" w:rsidRPr="008D10F4" w:rsidRDefault="00E636C3" w:rsidP="008D10F4">
      <w:pPr>
        <w:rPr>
          <w:rFonts w:ascii="Arial" w:hAnsi="Arial" w:cs="Arial"/>
          <w:color w:val="000000"/>
          <w:lang w:val="en-US"/>
        </w:rPr>
      </w:pPr>
      <w:r>
        <w:rPr>
          <w:rFonts w:ascii="Arial" w:hAnsi="Arial" w:cs="Arial"/>
        </w:rPr>
        <w:t>9</w:t>
      </w:r>
      <w:r w:rsidR="00586A79">
        <w:rPr>
          <w:rFonts w:ascii="Arial" w:hAnsi="Arial" w:cs="Arial"/>
        </w:rPr>
        <w:t xml:space="preserve">.2 </w:t>
      </w:r>
      <w:r w:rsidR="00586A79" w:rsidRPr="00D95AE3">
        <w:rPr>
          <w:rFonts w:ascii="Arial" w:hAnsi="Arial" w:cs="Arial"/>
          <w:color w:val="000000"/>
        </w:rPr>
        <w:t>Also agreed, as part of its implementation, is a roles and responsibilities document</w:t>
      </w:r>
      <w:r w:rsidR="00586A79">
        <w:rPr>
          <w:rFonts w:ascii="Arial" w:hAnsi="Arial" w:cs="Arial"/>
          <w:color w:val="000000"/>
        </w:rPr>
        <w:t xml:space="preserve"> </w:t>
      </w:r>
      <w:r w:rsidR="00586A79" w:rsidRPr="00D95AE3">
        <w:rPr>
          <w:rFonts w:ascii="Arial" w:hAnsi="Arial" w:cs="Arial"/>
          <w:color w:val="000000"/>
        </w:rPr>
        <w:t xml:space="preserve">which </w:t>
      </w:r>
      <w:r w:rsidR="00586A79">
        <w:rPr>
          <w:rFonts w:ascii="Arial" w:hAnsi="Arial" w:cs="Arial"/>
          <w:color w:val="000000"/>
        </w:rPr>
        <w:t xml:space="preserve">sets out the roles and responsibilities of </w:t>
      </w:r>
      <w:r w:rsidR="00586A79" w:rsidRPr="00D95AE3">
        <w:rPr>
          <w:rFonts w:ascii="Arial" w:hAnsi="Arial" w:cs="Arial"/>
          <w:color w:val="000000"/>
        </w:rPr>
        <w:t xml:space="preserve">all agencies </w:t>
      </w:r>
      <w:r w:rsidR="00586A79">
        <w:rPr>
          <w:rFonts w:ascii="Arial" w:hAnsi="Arial" w:cs="Arial"/>
          <w:color w:val="000000"/>
        </w:rPr>
        <w:t xml:space="preserve">which support </w:t>
      </w:r>
      <w:r w:rsidR="003013D7">
        <w:rPr>
          <w:rFonts w:ascii="Arial" w:hAnsi="Arial" w:cs="Arial"/>
          <w:color w:val="000000"/>
        </w:rPr>
        <w:t>complainant</w:t>
      </w:r>
      <w:r w:rsidR="00586A79">
        <w:rPr>
          <w:rFonts w:ascii="Arial" w:hAnsi="Arial" w:cs="Arial"/>
          <w:color w:val="000000"/>
        </w:rPr>
        <w:t xml:space="preserve">s and witnesses </w:t>
      </w:r>
      <w:r w:rsidR="00586A79" w:rsidRPr="00D95AE3">
        <w:rPr>
          <w:rFonts w:ascii="Arial" w:hAnsi="Arial" w:cs="Arial"/>
          <w:color w:val="000000"/>
        </w:rPr>
        <w:t xml:space="preserve">at court.  </w:t>
      </w:r>
      <w:r w:rsidR="00586A79" w:rsidRPr="008D10F4">
        <w:rPr>
          <w:rFonts w:ascii="Arial" w:hAnsi="Arial" w:cs="Arial"/>
          <w:color w:val="000000"/>
          <w:lang w:val="en-US"/>
        </w:rPr>
        <w:t xml:space="preserve">Each CPS Area should have discussed this document with local CJS partners as part of national implementation of the CPS guidance.  The document may have been tailored to suit local practices, as such please ensure </w:t>
      </w:r>
      <w:r w:rsidR="00EE4515">
        <w:rPr>
          <w:rFonts w:ascii="Arial" w:hAnsi="Arial" w:cs="Arial"/>
          <w:color w:val="000000"/>
          <w:lang w:val="en-US"/>
        </w:rPr>
        <w:t>the</w:t>
      </w:r>
      <w:r w:rsidR="00586A79" w:rsidRPr="008D10F4">
        <w:rPr>
          <w:rFonts w:ascii="Arial" w:hAnsi="Arial" w:cs="Arial"/>
          <w:color w:val="000000"/>
          <w:lang w:val="en-US"/>
        </w:rPr>
        <w:t xml:space="preserve"> </w:t>
      </w:r>
      <w:r w:rsidR="00F509A1" w:rsidRPr="00F509A1">
        <w:rPr>
          <w:rFonts w:ascii="Arial" w:hAnsi="Arial" w:cs="Arial"/>
          <w:color w:val="000000"/>
          <w:u w:val="single"/>
          <w:lang w:val="en-US"/>
        </w:rPr>
        <w:t>local</w:t>
      </w:r>
      <w:r w:rsidR="00F509A1">
        <w:rPr>
          <w:rFonts w:ascii="Arial" w:hAnsi="Arial" w:cs="Arial"/>
          <w:color w:val="000000"/>
          <w:lang w:val="en-US"/>
        </w:rPr>
        <w:t xml:space="preserve"> </w:t>
      </w:r>
      <w:r w:rsidR="00586A79" w:rsidRPr="00F509A1">
        <w:rPr>
          <w:rFonts w:ascii="Arial" w:hAnsi="Arial" w:cs="Arial"/>
          <w:color w:val="000000"/>
          <w:lang w:val="en-US"/>
        </w:rPr>
        <w:t>Roles</w:t>
      </w:r>
      <w:r w:rsidR="00586A79" w:rsidRPr="008D10F4">
        <w:rPr>
          <w:rFonts w:ascii="Arial" w:hAnsi="Arial" w:cs="Arial"/>
          <w:color w:val="000000"/>
          <w:lang w:val="en-US"/>
        </w:rPr>
        <w:t xml:space="preserve"> and Responsibilities document</w:t>
      </w:r>
      <w:r w:rsidR="00EE4515">
        <w:rPr>
          <w:rFonts w:ascii="Arial" w:hAnsi="Arial" w:cs="Arial"/>
          <w:color w:val="000000"/>
          <w:lang w:val="en-US"/>
        </w:rPr>
        <w:t xml:space="preserve"> is referred to</w:t>
      </w:r>
      <w:r w:rsidR="00586A79" w:rsidRPr="008D10F4">
        <w:rPr>
          <w:rFonts w:ascii="Arial" w:hAnsi="Arial" w:cs="Arial"/>
          <w:color w:val="000000"/>
          <w:lang w:val="en-US"/>
        </w:rPr>
        <w:t xml:space="preserve">. </w:t>
      </w:r>
    </w:p>
    <w:p w:rsidR="00586A79" w:rsidRDefault="00586A79" w:rsidP="00417EEF">
      <w:pPr>
        <w:rPr>
          <w:rFonts w:ascii="Arial" w:hAnsi="Arial" w:cs="Arial"/>
        </w:rPr>
      </w:pPr>
    </w:p>
    <w:p w:rsidR="00586A79" w:rsidRPr="00D1594F" w:rsidRDefault="00E636C3" w:rsidP="00417EEF">
      <w:pPr>
        <w:rPr>
          <w:rFonts w:ascii="Arial" w:hAnsi="Arial" w:cs="Arial"/>
        </w:rPr>
      </w:pPr>
      <w:r>
        <w:rPr>
          <w:rFonts w:ascii="Arial" w:hAnsi="Arial" w:cs="Arial"/>
        </w:rPr>
        <w:t>9</w:t>
      </w:r>
      <w:r w:rsidR="00586A79">
        <w:rPr>
          <w:rFonts w:ascii="Arial" w:hAnsi="Arial" w:cs="Arial"/>
        </w:rPr>
        <w:t xml:space="preserve">.3 </w:t>
      </w:r>
      <w:r w:rsidR="00586A79" w:rsidRPr="00D1594F">
        <w:rPr>
          <w:rFonts w:ascii="Arial" w:hAnsi="Arial" w:cs="Arial"/>
        </w:rPr>
        <w:t xml:space="preserve">The prosecuting advocate will introduce themselves to the </w:t>
      </w:r>
      <w:r w:rsidR="003013D7">
        <w:rPr>
          <w:rFonts w:ascii="Arial" w:hAnsi="Arial" w:cs="Arial"/>
        </w:rPr>
        <w:t>complainant</w:t>
      </w:r>
      <w:r w:rsidR="00586A79" w:rsidRPr="00D1594F">
        <w:rPr>
          <w:rFonts w:ascii="Arial" w:hAnsi="Arial" w:cs="Arial"/>
        </w:rPr>
        <w:t xml:space="preserve"> at court prior to the commencement of the trial. This is especially important if a special measures meeting with the </w:t>
      </w:r>
      <w:r w:rsidR="003013D7">
        <w:rPr>
          <w:rFonts w:ascii="Arial" w:hAnsi="Arial" w:cs="Arial"/>
        </w:rPr>
        <w:t>complainant</w:t>
      </w:r>
      <w:r w:rsidR="00586A79" w:rsidRPr="00D1594F">
        <w:rPr>
          <w:rFonts w:ascii="Arial" w:hAnsi="Arial" w:cs="Arial"/>
        </w:rPr>
        <w:t xml:space="preserve"> has not taken place</w:t>
      </w:r>
      <w:r w:rsidR="00586A79">
        <w:rPr>
          <w:rStyle w:val="FootnoteReference"/>
          <w:rFonts w:ascii="Arial" w:hAnsi="Arial" w:cs="Arial"/>
        </w:rPr>
        <w:footnoteReference w:id="16"/>
      </w:r>
      <w:r w:rsidR="00586A79" w:rsidRPr="00D1594F">
        <w:rPr>
          <w:rFonts w:ascii="Arial" w:hAnsi="Arial" w:cs="Arial"/>
        </w:rPr>
        <w:t>.</w:t>
      </w:r>
      <w:r w:rsidR="00586A79">
        <w:rPr>
          <w:rFonts w:ascii="Arial" w:hAnsi="Arial" w:cs="Arial"/>
        </w:rPr>
        <w:t xml:space="preserve">  </w:t>
      </w:r>
      <w:r w:rsidR="00586A79" w:rsidRPr="00D1594F">
        <w:rPr>
          <w:rFonts w:ascii="Arial" w:hAnsi="Arial" w:cs="Arial"/>
        </w:rPr>
        <w:t xml:space="preserve"> </w:t>
      </w:r>
      <w:r w:rsidR="00586A79" w:rsidRPr="00F46390">
        <w:rPr>
          <w:rFonts w:ascii="Arial" w:hAnsi="Arial" w:cs="Arial"/>
        </w:rPr>
        <w:t xml:space="preserve">Prosecutors should be aware of the potential for the witness to feel further </w:t>
      </w:r>
      <w:r w:rsidR="0041666B">
        <w:rPr>
          <w:rFonts w:ascii="Arial" w:hAnsi="Arial" w:cs="Arial"/>
        </w:rPr>
        <w:t>victim</w:t>
      </w:r>
      <w:r w:rsidR="00586A79" w:rsidRPr="00F46390">
        <w:rPr>
          <w:rFonts w:ascii="Arial" w:hAnsi="Arial" w:cs="Arial"/>
        </w:rPr>
        <w:t>ised and/or traumatised and, to minimise this, should ensure that witnesses feel valued and involved in the court process. Particular care needs to be taken to make sure they understand what will happen in court.</w:t>
      </w:r>
    </w:p>
    <w:p w:rsidR="00586A79" w:rsidRPr="009B50AF" w:rsidRDefault="00586A79" w:rsidP="00417EEF">
      <w:pPr>
        <w:rPr>
          <w:rFonts w:ascii="Arial" w:hAnsi="Arial" w:cs="Arial"/>
          <w:highlight w:val="yellow"/>
        </w:rPr>
      </w:pPr>
    </w:p>
    <w:p w:rsidR="00586A79" w:rsidRDefault="00E636C3" w:rsidP="00417EEF">
      <w:pPr>
        <w:rPr>
          <w:rFonts w:ascii="Arial" w:hAnsi="Arial" w:cs="Arial"/>
        </w:rPr>
      </w:pPr>
      <w:r>
        <w:rPr>
          <w:rFonts w:ascii="Arial" w:hAnsi="Arial" w:cs="Arial"/>
        </w:rPr>
        <w:t>9</w:t>
      </w:r>
      <w:r w:rsidR="00586A79">
        <w:rPr>
          <w:rFonts w:ascii="Arial" w:hAnsi="Arial" w:cs="Arial"/>
        </w:rPr>
        <w:t xml:space="preserve">.4 </w:t>
      </w:r>
      <w:r w:rsidR="00586A79" w:rsidRPr="00F46390">
        <w:rPr>
          <w:rFonts w:ascii="Arial" w:hAnsi="Arial" w:cs="Arial"/>
        </w:rPr>
        <w:t xml:space="preserve">Witnesses should be reassured that </w:t>
      </w:r>
      <w:r w:rsidR="00586A79">
        <w:rPr>
          <w:rFonts w:ascii="Arial" w:hAnsi="Arial" w:cs="Arial"/>
        </w:rPr>
        <w:t>the prosecution</w:t>
      </w:r>
      <w:r w:rsidR="00586A79" w:rsidRPr="00F46390">
        <w:rPr>
          <w:rFonts w:ascii="Arial" w:hAnsi="Arial" w:cs="Arial"/>
        </w:rPr>
        <w:t xml:space="preserve"> can object</w:t>
      </w:r>
      <w:r w:rsidR="00586A79">
        <w:rPr>
          <w:rFonts w:ascii="Arial" w:hAnsi="Arial" w:cs="Arial"/>
        </w:rPr>
        <w:t xml:space="preserve"> to intrusive/irrelevant cross-</w:t>
      </w:r>
      <w:r w:rsidR="00586A79" w:rsidRPr="00F46390">
        <w:rPr>
          <w:rFonts w:ascii="Arial" w:hAnsi="Arial" w:cs="Arial"/>
        </w:rPr>
        <w:t>examination and the judge will decide whether the questions need be answered. The witness should be advised that the judge’s decision must be followed.</w:t>
      </w:r>
    </w:p>
    <w:p w:rsidR="00586A79" w:rsidRPr="009B50AF" w:rsidRDefault="00586A79" w:rsidP="00417EEF">
      <w:pPr>
        <w:rPr>
          <w:rFonts w:ascii="Arial" w:hAnsi="Arial" w:cs="Arial"/>
          <w:highlight w:val="yellow"/>
        </w:rPr>
      </w:pPr>
    </w:p>
    <w:p w:rsidR="00586A79" w:rsidRPr="00D1594F" w:rsidRDefault="00E636C3" w:rsidP="00417EEF">
      <w:pPr>
        <w:rPr>
          <w:rFonts w:ascii="Arial" w:hAnsi="Arial" w:cs="Arial"/>
        </w:rPr>
      </w:pPr>
      <w:r>
        <w:rPr>
          <w:rFonts w:ascii="Arial" w:hAnsi="Arial" w:cs="Arial"/>
        </w:rPr>
        <w:t>9</w:t>
      </w:r>
      <w:r w:rsidR="00586A79">
        <w:rPr>
          <w:rFonts w:ascii="Arial" w:hAnsi="Arial" w:cs="Arial"/>
        </w:rPr>
        <w:t xml:space="preserve">.5 </w:t>
      </w:r>
      <w:r w:rsidR="00586A79" w:rsidRPr="00D1594F">
        <w:rPr>
          <w:rFonts w:ascii="Arial" w:hAnsi="Arial" w:cs="Arial"/>
        </w:rPr>
        <w:t xml:space="preserve">If a decision is taken at court to offer no evidence or accept a lesser plea the views of the </w:t>
      </w:r>
      <w:r w:rsidR="003013D7">
        <w:rPr>
          <w:rFonts w:ascii="Arial" w:hAnsi="Arial" w:cs="Arial"/>
        </w:rPr>
        <w:t>complainant</w:t>
      </w:r>
      <w:r w:rsidR="00586A79" w:rsidRPr="00D1594F">
        <w:rPr>
          <w:rFonts w:ascii="Arial" w:hAnsi="Arial" w:cs="Arial"/>
        </w:rPr>
        <w:t xml:space="preserve"> will be taken into account before a final decision is reached and the advocate will speak to the </w:t>
      </w:r>
      <w:r w:rsidR="003013D7">
        <w:rPr>
          <w:rFonts w:ascii="Arial" w:hAnsi="Arial" w:cs="Arial"/>
        </w:rPr>
        <w:t>complainant</w:t>
      </w:r>
      <w:r w:rsidR="00586A79" w:rsidRPr="00D1594F">
        <w:rPr>
          <w:rFonts w:ascii="Arial" w:hAnsi="Arial" w:cs="Arial"/>
        </w:rPr>
        <w:t xml:space="preserve"> </w:t>
      </w:r>
      <w:r w:rsidR="00586A79">
        <w:rPr>
          <w:rFonts w:ascii="Arial" w:hAnsi="Arial" w:cs="Arial"/>
        </w:rPr>
        <w:t xml:space="preserve">directly or indirectly through an interpreter/an appointed person e.g. an IDVA, </w:t>
      </w:r>
      <w:r w:rsidR="00586A79" w:rsidRPr="00D1594F">
        <w:rPr>
          <w:rFonts w:ascii="Arial" w:hAnsi="Arial" w:cs="Arial"/>
        </w:rPr>
        <w:t xml:space="preserve">to explain the issues surrounding the decision. </w:t>
      </w:r>
    </w:p>
    <w:p w:rsidR="00586A79" w:rsidRDefault="00586A79" w:rsidP="00417EEF">
      <w:pPr>
        <w:rPr>
          <w:rFonts w:ascii="Arial" w:hAnsi="Arial" w:cs="Arial"/>
        </w:rPr>
      </w:pPr>
    </w:p>
    <w:p w:rsidR="00586A79" w:rsidRDefault="00586A79" w:rsidP="00417EEF">
      <w:pPr>
        <w:rPr>
          <w:rFonts w:ascii="Arial" w:hAnsi="Arial" w:cs="Arial"/>
          <w:b/>
          <w:bCs/>
        </w:rPr>
      </w:pPr>
      <w:bookmarkStart w:id="9" w:name="Section10"/>
      <w:r>
        <w:rPr>
          <w:rFonts w:ascii="Arial" w:hAnsi="Arial" w:cs="Arial"/>
          <w:b/>
          <w:bCs/>
        </w:rPr>
        <w:t xml:space="preserve">10. SECTION 10 – SHARING LESSONS LEARNT </w:t>
      </w:r>
    </w:p>
    <w:bookmarkEnd w:id="9"/>
    <w:p w:rsidR="00586A79" w:rsidRDefault="00586A79" w:rsidP="00417EEF">
      <w:pPr>
        <w:rPr>
          <w:rFonts w:ascii="Arial" w:hAnsi="Arial" w:cs="Arial"/>
          <w:b/>
          <w:bCs/>
        </w:rPr>
      </w:pPr>
    </w:p>
    <w:p w:rsidR="00586A79" w:rsidRDefault="00586A79" w:rsidP="00095D31">
      <w:pPr>
        <w:rPr>
          <w:rFonts w:ascii="Arial" w:hAnsi="Arial" w:cs="Arial"/>
          <w:bCs/>
        </w:rPr>
      </w:pPr>
      <w:r>
        <w:rPr>
          <w:rFonts w:ascii="Arial" w:hAnsi="Arial" w:cs="Arial"/>
          <w:bCs/>
        </w:rPr>
        <w:t xml:space="preserve">10.1 </w:t>
      </w:r>
      <w:r w:rsidRPr="00095D31">
        <w:rPr>
          <w:rFonts w:ascii="Arial" w:hAnsi="Arial" w:cs="Arial"/>
          <w:bCs/>
        </w:rPr>
        <w:t xml:space="preserve">Both </w:t>
      </w:r>
      <w:r w:rsidR="00F80100">
        <w:rPr>
          <w:rFonts w:ascii="Arial" w:hAnsi="Arial" w:cs="Arial"/>
          <w:bCs/>
        </w:rPr>
        <w:t xml:space="preserve">the local police and </w:t>
      </w:r>
      <w:r w:rsidRPr="00095D31">
        <w:rPr>
          <w:rFonts w:ascii="Arial" w:hAnsi="Arial" w:cs="Arial"/>
          <w:bCs/>
        </w:rPr>
        <w:t xml:space="preserve">CPS will monitor these cases and provide feedback about good practice and </w:t>
      </w:r>
      <w:r>
        <w:rPr>
          <w:rFonts w:ascii="Arial" w:hAnsi="Arial" w:cs="Arial"/>
          <w:bCs/>
        </w:rPr>
        <w:t>areas</w:t>
      </w:r>
      <w:r w:rsidRPr="00095D31">
        <w:rPr>
          <w:rFonts w:ascii="Arial" w:hAnsi="Arial" w:cs="Arial"/>
          <w:bCs/>
        </w:rPr>
        <w:t xml:space="preserve"> for improvement through </w:t>
      </w:r>
      <w:r w:rsidR="00A67227">
        <w:rPr>
          <w:rFonts w:ascii="Arial" w:hAnsi="Arial" w:cs="Arial"/>
          <w:bCs/>
        </w:rPr>
        <w:t>an agreed frequency of</w:t>
      </w:r>
      <w:r w:rsidRPr="00095D31">
        <w:rPr>
          <w:rFonts w:ascii="Arial" w:hAnsi="Arial" w:cs="Arial"/>
          <w:bCs/>
        </w:rPr>
        <w:t xml:space="preserve"> meetings between the </w:t>
      </w:r>
      <w:r w:rsidR="00F80100">
        <w:rPr>
          <w:rFonts w:ascii="Arial" w:hAnsi="Arial" w:cs="Arial"/>
          <w:bCs/>
        </w:rPr>
        <w:t>p</w:t>
      </w:r>
      <w:r w:rsidRPr="00095D31">
        <w:rPr>
          <w:rFonts w:ascii="Arial" w:hAnsi="Arial" w:cs="Arial"/>
          <w:bCs/>
        </w:rPr>
        <w:t>olice</w:t>
      </w:r>
      <w:r>
        <w:rPr>
          <w:rFonts w:ascii="Arial" w:hAnsi="Arial" w:cs="Arial"/>
          <w:bCs/>
        </w:rPr>
        <w:t xml:space="preserve"> and</w:t>
      </w:r>
      <w:r w:rsidRPr="00095D31">
        <w:rPr>
          <w:rFonts w:ascii="Arial" w:hAnsi="Arial" w:cs="Arial"/>
          <w:bCs/>
        </w:rPr>
        <w:t xml:space="preserve"> the CPS lead. This inf</w:t>
      </w:r>
      <w:r w:rsidR="00D822CF">
        <w:rPr>
          <w:rFonts w:ascii="Arial" w:hAnsi="Arial" w:cs="Arial"/>
          <w:bCs/>
        </w:rPr>
        <w:t xml:space="preserve">ormation will then be passed </w:t>
      </w:r>
      <w:r w:rsidRPr="00095D31">
        <w:rPr>
          <w:rFonts w:ascii="Arial" w:hAnsi="Arial" w:cs="Arial"/>
          <w:bCs/>
        </w:rPr>
        <w:t xml:space="preserve">quarterly to </w:t>
      </w:r>
      <w:r>
        <w:rPr>
          <w:rFonts w:ascii="Arial" w:hAnsi="Arial" w:cs="Arial"/>
          <w:bCs/>
        </w:rPr>
        <w:t xml:space="preserve">the </w:t>
      </w:r>
      <w:r w:rsidR="003006FD">
        <w:rPr>
          <w:rFonts w:ascii="Arial" w:hAnsi="Arial" w:cs="Arial"/>
          <w:bCs/>
        </w:rPr>
        <w:t xml:space="preserve">CPS </w:t>
      </w:r>
      <w:r w:rsidR="00247BDD">
        <w:rPr>
          <w:rFonts w:ascii="Arial" w:hAnsi="Arial" w:cs="Arial"/>
          <w:bCs/>
        </w:rPr>
        <w:t>so-called</w:t>
      </w:r>
      <w:r w:rsidR="003210B1">
        <w:rPr>
          <w:rFonts w:ascii="Arial" w:hAnsi="Arial" w:cs="Arial"/>
          <w:bCs/>
        </w:rPr>
        <w:t xml:space="preserve"> HBV/</w:t>
      </w:r>
      <w:proofErr w:type="gramStart"/>
      <w:r w:rsidR="003210B1">
        <w:rPr>
          <w:rFonts w:ascii="Arial" w:hAnsi="Arial" w:cs="Arial"/>
          <w:bCs/>
        </w:rPr>
        <w:t>A</w:t>
      </w:r>
      <w:r w:rsidR="003006FD">
        <w:rPr>
          <w:rFonts w:ascii="Arial" w:hAnsi="Arial" w:cs="Arial"/>
          <w:bCs/>
        </w:rPr>
        <w:t xml:space="preserve"> and</w:t>
      </w:r>
      <w:proofErr w:type="gramEnd"/>
      <w:r w:rsidR="003006FD">
        <w:rPr>
          <w:rFonts w:ascii="Arial" w:hAnsi="Arial" w:cs="Arial"/>
          <w:bCs/>
        </w:rPr>
        <w:t xml:space="preserve"> FM </w:t>
      </w:r>
      <w:r>
        <w:rPr>
          <w:rFonts w:ascii="Arial" w:hAnsi="Arial" w:cs="Arial"/>
          <w:bCs/>
        </w:rPr>
        <w:t xml:space="preserve">Operational Policy </w:t>
      </w:r>
      <w:r w:rsidR="003006FD">
        <w:rPr>
          <w:rFonts w:ascii="Arial" w:hAnsi="Arial" w:cs="Arial"/>
          <w:bCs/>
        </w:rPr>
        <w:t>lead</w:t>
      </w:r>
      <w:r w:rsidR="001872ED">
        <w:rPr>
          <w:rFonts w:ascii="Arial" w:hAnsi="Arial" w:cs="Arial"/>
          <w:bCs/>
        </w:rPr>
        <w:t>, the</w:t>
      </w:r>
      <w:r w:rsidRPr="00095D31">
        <w:rPr>
          <w:rFonts w:ascii="Arial" w:hAnsi="Arial" w:cs="Arial"/>
          <w:bCs/>
        </w:rPr>
        <w:t xml:space="preserve"> </w:t>
      </w:r>
      <w:r>
        <w:rPr>
          <w:rFonts w:ascii="Arial" w:hAnsi="Arial" w:cs="Arial"/>
          <w:bCs/>
        </w:rPr>
        <w:t>NPCC</w:t>
      </w:r>
      <w:r w:rsidRPr="00095D31">
        <w:rPr>
          <w:rFonts w:ascii="Arial" w:hAnsi="Arial" w:cs="Arial"/>
          <w:bCs/>
        </w:rPr>
        <w:t xml:space="preserve"> lead on </w:t>
      </w:r>
      <w:r w:rsidR="00247BDD">
        <w:rPr>
          <w:rFonts w:ascii="Arial" w:hAnsi="Arial" w:cs="Arial"/>
          <w:bCs/>
        </w:rPr>
        <w:t>so-called</w:t>
      </w:r>
      <w:r w:rsidR="003210B1">
        <w:rPr>
          <w:rFonts w:ascii="Arial" w:hAnsi="Arial" w:cs="Arial"/>
          <w:bCs/>
        </w:rPr>
        <w:t xml:space="preserve"> HBV/A</w:t>
      </w:r>
      <w:r>
        <w:rPr>
          <w:rFonts w:ascii="Arial" w:hAnsi="Arial" w:cs="Arial"/>
          <w:bCs/>
        </w:rPr>
        <w:t xml:space="preserve"> and FM and the College of Policing </w:t>
      </w:r>
      <w:r w:rsidRPr="00095D31">
        <w:rPr>
          <w:rFonts w:ascii="Arial" w:hAnsi="Arial" w:cs="Arial"/>
          <w:bCs/>
        </w:rPr>
        <w:t xml:space="preserve">so that national lessons can be learnt. </w:t>
      </w:r>
      <w:r>
        <w:rPr>
          <w:rFonts w:ascii="Arial" w:hAnsi="Arial" w:cs="Arial"/>
          <w:bCs/>
        </w:rPr>
        <w:t xml:space="preserve"> </w:t>
      </w:r>
    </w:p>
    <w:p w:rsidR="00586A79" w:rsidRDefault="00586A79" w:rsidP="00095D31">
      <w:pPr>
        <w:rPr>
          <w:rFonts w:ascii="Arial" w:hAnsi="Arial" w:cs="Arial"/>
          <w:bCs/>
        </w:rPr>
      </w:pPr>
    </w:p>
    <w:p w:rsidR="00586A79" w:rsidRPr="00095D31" w:rsidRDefault="00586A79" w:rsidP="00095D31">
      <w:pPr>
        <w:rPr>
          <w:rFonts w:ascii="Arial" w:hAnsi="Arial" w:cs="Arial"/>
          <w:bCs/>
        </w:rPr>
      </w:pPr>
      <w:r>
        <w:rPr>
          <w:rFonts w:ascii="Arial" w:hAnsi="Arial" w:cs="Arial"/>
          <w:bCs/>
        </w:rPr>
        <w:t>10.2 Where appropriate lessons learnt should also be shared with local specialist support agencies either through existing forums or by arranging ad-hoc meetings.</w:t>
      </w:r>
    </w:p>
    <w:p w:rsidR="00586A79" w:rsidRDefault="00586A79" w:rsidP="00417EEF">
      <w:pPr>
        <w:rPr>
          <w:rFonts w:ascii="Arial" w:hAnsi="Arial" w:cs="Arial"/>
          <w:b/>
          <w:bCs/>
        </w:rPr>
      </w:pPr>
    </w:p>
    <w:p w:rsidR="00586A79" w:rsidRPr="00417EEF" w:rsidRDefault="00586A79" w:rsidP="00417EEF">
      <w:pPr>
        <w:rPr>
          <w:rFonts w:ascii="Arial" w:hAnsi="Arial" w:cs="Arial"/>
        </w:rPr>
      </w:pPr>
      <w:bookmarkStart w:id="10" w:name="Section11"/>
      <w:r>
        <w:rPr>
          <w:rFonts w:ascii="Arial" w:hAnsi="Arial" w:cs="Arial"/>
          <w:b/>
          <w:bCs/>
        </w:rPr>
        <w:t>11</w:t>
      </w:r>
      <w:r w:rsidRPr="003B08B2">
        <w:rPr>
          <w:rFonts w:ascii="Arial" w:hAnsi="Arial" w:cs="Arial"/>
          <w:b/>
          <w:bCs/>
        </w:rPr>
        <w:t xml:space="preserve">. SECTION </w:t>
      </w:r>
      <w:r>
        <w:rPr>
          <w:rFonts w:ascii="Arial" w:hAnsi="Arial" w:cs="Arial"/>
          <w:b/>
          <w:bCs/>
        </w:rPr>
        <w:t>11</w:t>
      </w:r>
      <w:r w:rsidRPr="003B08B2">
        <w:rPr>
          <w:rFonts w:ascii="Arial" w:hAnsi="Arial" w:cs="Arial"/>
          <w:b/>
          <w:bCs/>
        </w:rPr>
        <w:t xml:space="preserve"> – SIGNATORIES</w:t>
      </w:r>
      <w:r w:rsidRPr="00417EEF">
        <w:rPr>
          <w:rFonts w:ascii="Arial" w:hAnsi="Arial" w:cs="Arial"/>
          <w:b/>
          <w:bCs/>
        </w:rPr>
        <w:t xml:space="preserve"> </w:t>
      </w:r>
    </w:p>
    <w:bookmarkEnd w:id="10"/>
    <w:p w:rsidR="00586A79" w:rsidRDefault="00586A79" w:rsidP="00EA2F70">
      <w:pPr>
        <w:rPr>
          <w:rFonts w:ascii="Arial" w:hAnsi="Arial" w:cs="Arial"/>
        </w:rPr>
      </w:pPr>
    </w:p>
    <w:p w:rsidR="00586A79" w:rsidRDefault="00586A79" w:rsidP="002B7D68">
      <w:pPr>
        <w:rPr>
          <w:rFonts w:ascii="Arial" w:hAnsi="Arial" w:cs="Arial"/>
        </w:rPr>
      </w:pPr>
      <w:r>
        <w:rPr>
          <w:rFonts w:ascii="Arial" w:hAnsi="Arial" w:cs="Arial"/>
        </w:rPr>
        <w:t xml:space="preserve">11.1 This protocol will take effect in respect of all </w:t>
      </w:r>
      <w:r w:rsidR="00247BDD">
        <w:rPr>
          <w:rFonts w:ascii="Arial" w:hAnsi="Arial" w:cs="Arial"/>
        </w:rPr>
        <w:t>so-called</w:t>
      </w:r>
      <w:r w:rsidR="00D822CF">
        <w:rPr>
          <w:rFonts w:ascii="Arial" w:hAnsi="Arial" w:cs="Arial"/>
        </w:rPr>
        <w:t xml:space="preserve"> </w:t>
      </w:r>
      <w:r>
        <w:rPr>
          <w:rFonts w:ascii="Arial" w:hAnsi="Arial" w:cs="Arial"/>
        </w:rPr>
        <w:t>HBV</w:t>
      </w:r>
      <w:r w:rsidR="00D822CF">
        <w:rPr>
          <w:rFonts w:ascii="Arial" w:hAnsi="Arial" w:cs="Arial"/>
        </w:rPr>
        <w:t>/</w:t>
      </w:r>
      <w:proofErr w:type="gramStart"/>
      <w:r w:rsidR="00D822CF">
        <w:rPr>
          <w:rFonts w:ascii="Arial" w:hAnsi="Arial" w:cs="Arial"/>
        </w:rPr>
        <w:t>A and</w:t>
      </w:r>
      <w:proofErr w:type="gramEnd"/>
      <w:r w:rsidR="00D822CF">
        <w:rPr>
          <w:rFonts w:ascii="Arial" w:hAnsi="Arial" w:cs="Arial"/>
        </w:rPr>
        <w:t xml:space="preserve"> FM</w:t>
      </w:r>
      <w:r>
        <w:rPr>
          <w:rFonts w:ascii="Arial" w:hAnsi="Arial" w:cs="Arial"/>
        </w:rPr>
        <w:t xml:space="preserve"> investigations and prosecutions commencing on or after XXXX.</w:t>
      </w:r>
    </w:p>
    <w:sectPr w:rsidR="00586A79" w:rsidSect="00E219A3">
      <w:headerReference w:type="even" r:id="rId48"/>
      <w:headerReference w:type="default" r:id="rId49"/>
      <w:footerReference w:type="even" r:id="rId50"/>
      <w:footerReference w:type="default" r:id="rId51"/>
      <w:headerReference w:type="first" r:id="rId52"/>
      <w:footerReference w:type="first" r:id="rId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6F5" w:rsidRDefault="004C76F5" w:rsidP="00C65090">
      <w:r>
        <w:separator/>
      </w:r>
    </w:p>
  </w:endnote>
  <w:endnote w:type="continuationSeparator" w:id="0">
    <w:p w:rsidR="004C76F5" w:rsidRDefault="004C76F5" w:rsidP="00C6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519" w:rsidRDefault="005905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6F5" w:rsidRPr="00590519" w:rsidRDefault="004C76F5" w:rsidP="00590519">
    <w:pPr>
      <w:pStyle w:val="Footer"/>
    </w:pPr>
    <w:bookmarkStart w:id="11" w:name="_GoBack"/>
    <w:bookmarkEnd w:id="1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519" w:rsidRDefault="005905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6F5" w:rsidRDefault="004C76F5" w:rsidP="00C65090">
      <w:r>
        <w:separator/>
      </w:r>
    </w:p>
  </w:footnote>
  <w:footnote w:type="continuationSeparator" w:id="0">
    <w:p w:rsidR="004C76F5" w:rsidRDefault="004C76F5" w:rsidP="00C65090">
      <w:r>
        <w:continuationSeparator/>
      </w:r>
    </w:p>
  </w:footnote>
  <w:footnote w:id="1">
    <w:p w:rsidR="004C76F5" w:rsidRPr="001B5786" w:rsidRDefault="004C76F5">
      <w:pPr>
        <w:pStyle w:val="FootnoteText"/>
        <w:rPr>
          <w:rFonts w:ascii="Arial" w:hAnsi="Arial" w:cs="Arial"/>
          <w:sz w:val="18"/>
          <w:szCs w:val="18"/>
        </w:rPr>
      </w:pPr>
      <w:r w:rsidRPr="001B5786">
        <w:rPr>
          <w:rStyle w:val="FootnoteReference"/>
          <w:rFonts w:ascii="Arial" w:hAnsi="Arial" w:cs="Arial"/>
          <w:sz w:val="18"/>
          <w:szCs w:val="18"/>
        </w:rPr>
        <w:footnoteRef/>
      </w:r>
      <w:r w:rsidRPr="001B5786">
        <w:rPr>
          <w:rFonts w:ascii="Arial" w:hAnsi="Arial" w:cs="Arial"/>
          <w:sz w:val="18"/>
          <w:szCs w:val="18"/>
        </w:rPr>
        <w:t xml:space="preserve"> </w:t>
      </w:r>
      <w:r>
        <w:rPr>
          <w:rFonts w:ascii="Arial" w:hAnsi="Arial" w:cs="Arial"/>
          <w:sz w:val="18"/>
          <w:szCs w:val="18"/>
        </w:rPr>
        <w:t>VAWG</w:t>
      </w:r>
      <w:r w:rsidRPr="001B5786">
        <w:rPr>
          <w:rFonts w:ascii="Arial" w:hAnsi="Arial" w:cs="Arial"/>
          <w:sz w:val="18"/>
          <w:szCs w:val="18"/>
        </w:rPr>
        <w:t xml:space="preserve"> is the most widespread form of abuse worldwide, affecting on average one third of all women globally in their lifetime</w:t>
      </w:r>
      <w:r>
        <w:rPr>
          <w:rFonts w:ascii="Arial" w:hAnsi="Arial" w:cs="Arial"/>
          <w:sz w:val="18"/>
          <w:szCs w:val="18"/>
        </w:rPr>
        <w:t xml:space="preserve"> (WHO, MSC and LSHTM, </w:t>
      </w:r>
      <w:r w:rsidRPr="001B5786">
        <w:rPr>
          <w:rFonts w:ascii="Arial" w:hAnsi="Arial" w:cs="Arial"/>
          <w:sz w:val="18"/>
          <w:szCs w:val="18"/>
        </w:rPr>
        <w:t>2013)</w:t>
      </w:r>
      <w:r>
        <w:rPr>
          <w:rFonts w:ascii="Arial" w:hAnsi="Arial" w:cs="Arial"/>
          <w:sz w:val="18"/>
          <w:szCs w:val="18"/>
        </w:rPr>
        <w:t>.</w:t>
      </w:r>
      <w:r w:rsidRPr="001B5786">
        <w:rPr>
          <w:rFonts w:ascii="Arial" w:hAnsi="Arial" w:cs="Arial"/>
          <w:sz w:val="18"/>
          <w:szCs w:val="18"/>
        </w:rPr>
        <w:t xml:space="preserve">  </w:t>
      </w:r>
    </w:p>
  </w:footnote>
  <w:footnote w:id="2">
    <w:p w:rsidR="004C76F5" w:rsidRPr="00325DC7" w:rsidRDefault="004C76F5">
      <w:pPr>
        <w:pStyle w:val="FootnoteText"/>
        <w:rPr>
          <w:rFonts w:ascii="Arial" w:hAnsi="Arial" w:cs="Arial"/>
          <w:sz w:val="18"/>
          <w:szCs w:val="18"/>
        </w:rPr>
      </w:pPr>
      <w:r w:rsidRPr="00325DC7">
        <w:rPr>
          <w:rStyle w:val="FootnoteReference"/>
          <w:rFonts w:ascii="Arial" w:hAnsi="Arial" w:cs="Arial"/>
          <w:sz w:val="18"/>
          <w:szCs w:val="18"/>
        </w:rPr>
        <w:footnoteRef/>
      </w:r>
      <w:r w:rsidRPr="00325DC7">
        <w:rPr>
          <w:rFonts w:ascii="Arial" w:hAnsi="Arial" w:cs="Arial"/>
          <w:sz w:val="18"/>
          <w:szCs w:val="18"/>
        </w:rPr>
        <w:t xml:space="preserve"> In 2003, the UN published </w:t>
      </w:r>
      <w:r>
        <w:rPr>
          <w:rFonts w:ascii="Arial" w:hAnsi="Arial" w:cs="Arial"/>
          <w:sz w:val="18"/>
          <w:szCs w:val="18"/>
        </w:rPr>
        <w:t xml:space="preserve">reference: </w:t>
      </w:r>
      <w:hyperlink r:id="rId1" w:history="1">
        <w:r w:rsidRPr="005F3C28">
          <w:rPr>
            <w:rStyle w:val="Hyperlink"/>
            <w:rFonts w:ascii="Arial" w:hAnsi="Arial" w:cs="Arial"/>
            <w:sz w:val="18"/>
            <w:szCs w:val="18"/>
          </w:rPr>
          <w:t>http://www.ohchr.org/Documents/Issues/Women/15YearReviewofVAWMandate.pdf</w:t>
        </w:r>
      </w:hyperlink>
    </w:p>
  </w:footnote>
  <w:footnote w:id="3">
    <w:p w:rsidR="004C76F5" w:rsidRPr="00FB7A2E" w:rsidRDefault="004C76F5">
      <w:pPr>
        <w:pStyle w:val="FootnoteText"/>
        <w:rPr>
          <w:rFonts w:ascii="Arial" w:hAnsi="Arial" w:cs="Arial"/>
          <w:sz w:val="18"/>
          <w:szCs w:val="18"/>
        </w:rPr>
      </w:pPr>
      <w:r w:rsidRPr="00FB7A2E">
        <w:rPr>
          <w:rStyle w:val="FootnoteReference"/>
          <w:rFonts w:ascii="Arial" w:hAnsi="Arial" w:cs="Arial"/>
          <w:sz w:val="18"/>
          <w:szCs w:val="18"/>
        </w:rPr>
        <w:footnoteRef/>
      </w:r>
      <w:r w:rsidRPr="00FB7A2E">
        <w:rPr>
          <w:rFonts w:ascii="Arial" w:hAnsi="Arial" w:cs="Arial"/>
          <w:sz w:val="18"/>
          <w:szCs w:val="18"/>
        </w:rPr>
        <w:t xml:space="preserve"> ‘any incident or crime involving violence, threats of violence, intimidation, coercion or abuse (including psychological, physical, sexual, financial or emotional abuse), which has or may have been committed to protect or defend the honour of an individual, family and or community for alleged or perceived breaches of the family and / or community’s code of behaviour’.</w:t>
      </w:r>
    </w:p>
  </w:footnote>
  <w:footnote w:id="4">
    <w:p w:rsidR="004C76F5" w:rsidRPr="00FB7A2E" w:rsidRDefault="004C76F5">
      <w:pPr>
        <w:pStyle w:val="FootnoteText"/>
        <w:rPr>
          <w:rFonts w:ascii="Arial" w:hAnsi="Arial" w:cs="Arial"/>
          <w:sz w:val="18"/>
          <w:szCs w:val="18"/>
        </w:rPr>
      </w:pPr>
      <w:r w:rsidRPr="00FB7A2E">
        <w:rPr>
          <w:rStyle w:val="FootnoteReference"/>
          <w:rFonts w:ascii="Arial" w:hAnsi="Arial" w:cs="Arial"/>
          <w:sz w:val="18"/>
          <w:szCs w:val="18"/>
        </w:rPr>
        <w:footnoteRef/>
      </w:r>
      <w:r w:rsidRPr="00FB7A2E">
        <w:rPr>
          <w:rFonts w:ascii="Arial" w:hAnsi="Arial" w:cs="Arial"/>
          <w:sz w:val="18"/>
          <w:szCs w:val="18"/>
        </w:rPr>
        <w:t xml:space="preserve"> </w:t>
      </w:r>
      <w:r w:rsidR="00481DF6">
        <w:rPr>
          <w:rFonts w:ascii="Arial" w:hAnsi="Arial" w:cs="Arial"/>
          <w:sz w:val="18"/>
          <w:szCs w:val="18"/>
        </w:rPr>
        <w:t xml:space="preserve">A FM is a marriage </w:t>
      </w:r>
      <w:r w:rsidRPr="00FB7A2E">
        <w:rPr>
          <w:rFonts w:ascii="Arial" w:hAnsi="Arial" w:cs="Arial"/>
          <w:sz w:val="18"/>
          <w:szCs w:val="18"/>
        </w:rPr>
        <w:t>conducted without the valid consent of one or both parties and where duress is a factor.</w:t>
      </w:r>
      <w:r w:rsidR="00481DF6">
        <w:rPr>
          <w:rFonts w:ascii="Arial" w:hAnsi="Arial" w:cs="Arial"/>
          <w:sz w:val="18"/>
          <w:szCs w:val="18"/>
        </w:rPr>
        <w:t xml:space="preserve">  FM is now a specific offence under s121 of the Anti-Social Behaviour, Crime and Policing Act 2014.</w:t>
      </w:r>
      <w:r w:rsidRPr="00FB7A2E">
        <w:rPr>
          <w:rFonts w:ascii="Arial" w:hAnsi="Arial" w:cs="Arial"/>
          <w:sz w:val="18"/>
          <w:szCs w:val="18"/>
        </w:rPr>
        <w:t xml:space="preserve"> </w:t>
      </w:r>
    </w:p>
  </w:footnote>
  <w:footnote w:id="5">
    <w:p w:rsidR="004C76F5" w:rsidRPr="00FB7A2E" w:rsidRDefault="004C76F5">
      <w:pPr>
        <w:pStyle w:val="FootnoteText"/>
        <w:rPr>
          <w:rFonts w:ascii="Arial" w:hAnsi="Arial" w:cs="Arial"/>
          <w:sz w:val="18"/>
          <w:szCs w:val="18"/>
        </w:rPr>
      </w:pPr>
      <w:r w:rsidRPr="00FB7A2E">
        <w:rPr>
          <w:rStyle w:val="FootnoteReference"/>
          <w:rFonts w:ascii="Arial" w:hAnsi="Arial" w:cs="Arial"/>
          <w:sz w:val="18"/>
          <w:szCs w:val="18"/>
        </w:rPr>
        <w:footnoteRef/>
      </w:r>
      <w:r w:rsidRPr="00FB7A2E">
        <w:rPr>
          <w:rFonts w:ascii="Arial" w:hAnsi="Arial" w:cs="Arial"/>
          <w:sz w:val="18"/>
          <w:szCs w:val="18"/>
        </w:rPr>
        <w:t xml:space="preserve"> This includes the specific offence of </w:t>
      </w:r>
      <w:hyperlink r:id="rId2" w:history="1">
        <w:r w:rsidRPr="00FB7A2E">
          <w:rPr>
            <w:rStyle w:val="Hyperlink"/>
            <w:rFonts w:ascii="Arial" w:hAnsi="Arial" w:cs="Arial"/>
            <w:sz w:val="18"/>
            <w:szCs w:val="18"/>
          </w:rPr>
          <w:t>controlling or coercive behaviour in an intimate or family relationship.</w:t>
        </w:r>
      </w:hyperlink>
    </w:p>
  </w:footnote>
  <w:footnote w:id="6">
    <w:p w:rsidR="004C76F5" w:rsidRPr="0074700D" w:rsidRDefault="004C76F5">
      <w:pPr>
        <w:pStyle w:val="FootnoteText"/>
        <w:rPr>
          <w:rFonts w:ascii="Arial" w:hAnsi="Arial" w:cs="Arial"/>
          <w:sz w:val="18"/>
          <w:szCs w:val="18"/>
        </w:rPr>
      </w:pPr>
      <w:r w:rsidRPr="00FB7A2E">
        <w:rPr>
          <w:rStyle w:val="FootnoteReference"/>
          <w:rFonts w:ascii="Arial" w:hAnsi="Arial" w:cs="Arial"/>
          <w:sz w:val="18"/>
          <w:szCs w:val="18"/>
        </w:rPr>
        <w:footnoteRef/>
      </w:r>
      <w:r w:rsidRPr="00FB7A2E">
        <w:rPr>
          <w:rFonts w:ascii="Arial" w:hAnsi="Arial" w:cs="Arial"/>
          <w:sz w:val="18"/>
          <w:szCs w:val="18"/>
        </w:rPr>
        <w:t xml:space="preserve"> </w:t>
      </w:r>
      <w:r w:rsidRPr="00FB7A2E">
        <w:rPr>
          <w:rFonts w:ascii="Arial" w:hAnsi="Arial" w:cs="Arial"/>
          <w:sz w:val="18"/>
          <w:szCs w:val="18"/>
          <w:lang w:val="en"/>
        </w:rPr>
        <w:t xml:space="preserve">The maximum penalty for the </w:t>
      </w:r>
      <w:r>
        <w:rPr>
          <w:rFonts w:ascii="Arial" w:hAnsi="Arial" w:cs="Arial"/>
          <w:sz w:val="18"/>
          <w:szCs w:val="18"/>
          <w:lang w:val="en"/>
        </w:rPr>
        <w:t>FM</w:t>
      </w:r>
      <w:r w:rsidRPr="00FB7A2E">
        <w:rPr>
          <w:rFonts w:ascii="Arial" w:hAnsi="Arial" w:cs="Arial"/>
          <w:sz w:val="18"/>
          <w:szCs w:val="18"/>
          <w:lang w:val="en"/>
        </w:rPr>
        <w:t xml:space="preserve"> offences is 7 years’ imprisonment in a criminal court.  The maximum penalty for breach of a </w:t>
      </w:r>
      <w:r>
        <w:rPr>
          <w:rFonts w:ascii="Arial" w:hAnsi="Arial" w:cs="Arial"/>
          <w:sz w:val="18"/>
          <w:szCs w:val="18"/>
          <w:lang w:val="en"/>
        </w:rPr>
        <w:t>FMPO</w:t>
      </w:r>
      <w:r w:rsidRPr="00FB7A2E">
        <w:rPr>
          <w:rFonts w:ascii="Arial" w:hAnsi="Arial" w:cs="Arial"/>
          <w:sz w:val="18"/>
          <w:szCs w:val="18"/>
          <w:lang w:val="en"/>
        </w:rPr>
        <w:t xml:space="preserve"> is five years imprisonment.</w:t>
      </w:r>
    </w:p>
  </w:footnote>
  <w:footnote w:id="7">
    <w:p w:rsidR="004C76F5" w:rsidRPr="009E14BE" w:rsidRDefault="004C76F5">
      <w:pPr>
        <w:pStyle w:val="FootnoteText"/>
        <w:rPr>
          <w:rFonts w:ascii="Arial" w:hAnsi="Arial" w:cs="Arial"/>
          <w:sz w:val="18"/>
          <w:szCs w:val="18"/>
        </w:rPr>
      </w:pPr>
      <w:r w:rsidRPr="009E14BE">
        <w:rPr>
          <w:rStyle w:val="FootnoteReference"/>
          <w:rFonts w:ascii="Arial" w:hAnsi="Arial" w:cs="Arial"/>
          <w:sz w:val="18"/>
          <w:szCs w:val="18"/>
        </w:rPr>
        <w:footnoteRef/>
      </w:r>
      <w:r w:rsidRPr="009E14BE">
        <w:rPr>
          <w:rFonts w:ascii="Arial" w:hAnsi="Arial" w:cs="Arial"/>
          <w:sz w:val="18"/>
          <w:szCs w:val="18"/>
        </w:rPr>
        <w:t xml:space="preserve"> This includes the specific offence of </w:t>
      </w:r>
      <w:hyperlink r:id="rId3" w:history="1">
        <w:r w:rsidRPr="009E14BE">
          <w:rPr>
            <w:rStyle w:val="Hyperlink"/>
            <w:rFonts w:ascii="Arial" w:hAnsi="Arial" w:cs="Arial"/>
            <w:sz w:val="18"/>
            <w:szCs w:val="18"/>
          </w:rPr>
          <w:t>controlling or coercive behaviour in an intimate or family relationship.</w:t>
        </w:r>
      </w:hyperlink>
    </w:p>
  </w:footnote>
  <w:footnote w:id="8">
    <w:p w:rsidR="004C76F5" w:rsidRPr="00CF3EEB" w:rsidRDefault="004C76F5" w:rsidP="002922BC">
      <w:pPr>
        <w:pStyle w:val="FootnoteText"/>
        <w:rPr>
          <w:rFonts w:ascii="Arial" w:hAnsi="Arial" w:cs="Arial"/>
          <w:sz w:val="18"/>
          <w:szCs w:val="18"/>
        </w:rPr>
      </w:pPr>
      <w:r w:rsidRPr="00CF3EEB">
        <w:rPr>
          <w:rStyle w:val="FootnoteReference"/>
          <w:rFonts w:ascii="Arial" w:hAnsi="Arial" w:cs="Arial"/>
          <w:sz w:val="18"/>
          <w:szCs w:val="18"/>
        </w:rPr>
        <w:footnoteRef/>
      </w:r>
      <w:r w:rsidRPr="00CF3EEB">
        <w:rPr>
          <w:rFonts w:ascii="Arial" w:hAnsi="Arial" w:cs="Arial"/>
          <w:sz w:val="18"/>
          <w:szCs w:val="18"/>
        </w:rPr>
        <w:t xml:space="preserve"> Refer to:</w:t>
      </w:r>
    </w:p>
    <w:p w:rsidR="004C76F5" w:rsidRPr="00CF3EEB" w:rsidRDefault="004C76F5" w:rsidP="002922BC">
      <w:pPr>
        <w:pStyle w:val="FootnoteText"/>
        <w:numPr>
          <w:ilvl w:val="0"/>
          <w:numId w:val="34"/>
        </w:numPr>
        <w:rPr>
          <w:rFonts w:ascii="Arial" w:hAnsi="Arial" w:cs="Arial"/>
          <w:sz w:val="18"/>
          <w:szCs w:val="18"/>
        </w:rPr>
      </w:pPr>
      <w:r w:rsidRPr="00CF3EEB">
        <w:rPr>
          <w:rFonts w:ascii="Arial" w:hAnsi="Arial" w:cs="Arial"/>
          <w:sz w:val="18"/>
          <w:szCs w:val="18"/>
        </w:rPr>
        <w:t xml:space="preserve">CPS Domestic Abuse Legal Guidance for advice on avoiding assumptions in relation to </w:t>
      </w:r>
      <w:hyperlink r:id="rId4" w:anchor="a03" w:tgtFrame="_blank" w:tooltip="terminology used" w:history="1">
        <w:r w:rsidRPr="00CF3EEB">
          <w:rPr>
            <w:rStyle w:val="Hyperlink"/>
            <w:rFonts w:ascii="Arial" w:hAnsi="Arial" w:cs="Arial"/>
            <w:sz w:val="18"/>
            <w:szCs w:val="18"/>
          </w:rPr>
          <w:t>terminology used</w:t>
        </w:r>
      </w:hyperlink>
      <w:r w:rsidRPr="00CF3EEB">
        <w:rPr>
          <w:rFonts w:ascii="Arial" w:hAnsi="Arial" w:cs="Arial"/>
          <w:sz w:val="18"/>
          <w:szCs w:val="18"/>
        </w:rPr>
        <w:t xml:space="preserve"> and on the </w:t>
      </w:r>
      <w:hyperlink r:id="rId5" w:anchor="a06" w:tgtFrame="_blank" w:tooltip="dynamics of domestic abuse" w:history="1">
        <w:r w:rsidRPr="00CF3EEB">
          <w:rPr>
            <w:rStyle w:val="Hyperlink"/>
            <w:rFonts w:ascii="Arial" w:hAnsi="Arial" w:cs="Arial"/>
            <w:sz w:val="18"/>
            <w:szCs w:val="18"/>
          </w:rPr>
          <w:t>dynamics of domestic abuse</w:t>
        </w:r>
      </w:hyperlink>
      <w:r w:rsidRPr="00CF3EEB">
        <w:rPr>
          <w:rFonts w:ascii="Arial" w:hAnsi="Arial" w:cs="Arial"/>
          <w:sz w:val="18"/>
          <w:szCs w:val="18"/>
        </w:rPr>
        <w:t xml:space="preserve"> </w:t>
      </w:r>
    </w:p>
    <w:p w:rsidR="004C76F5" w:rsidRPr="00CF3EEB" w:rsidRDefault="00590519" w:rsidP="002922BC">
      <w:pPr>
        <w:pStyle w:val="FootnoteText"/>
        <w:numPr>
          <w:ilvl w:val="0"/>
          <w:numId w:val="34"/>
        </w:numPr>
        <w:rPr>
          <w:rFonts w:ascii="Arial" w:hAnsi="Arial" w:cs="Arial"/>
          <w:sz w:val="18"/>
          <w:szCs w:val="18"/>
        </w:rPr>
      </w:pPr>
      <w:hyperlink r:id="rId6" w:tgtFrame="_blank" w:tooltip="CPS Rape and Sexual Offences Legal Guidance" w:history="1">
        <w:r w:rsidR="004C76F5" w:rsidRPr="00CF3EEB">
          <w:rPr>
            <w:rStyle w:val="Hyperlink"/>
            <w:rFonts w:ascii="Arial" w:hAnsi="Arial" w:cs="Arial"/>
            <w:sz w:val="18"/>
            <w:szCs w:val="18"/>
          </w:rPr>
          <w:t>CPS Rape and Sexual Offences Legal Guidance</w:t>
        </w:r>
      </w:hyperlink>
      <w:r w:rsidR="004C76F5">
        <w:rPr>
          <w:rFonts w:ascii="Arial" w:hAnsi="Arial" w:cs="Arial"/>
          <w:sz w:val="18"/>
          <w:szCs w:val="18"/>
        </w:rPr>
        <w:t>.</w:t>
      </w:r>
    </w:p>
    <w:p w:rsidR="004C76F5" w:rsidRPr="00CF3EEB" w:rsidRDefault="00590519" w:rsidP="002922BC">
      <w:pPr>
        <w:pStyle w:val="FootnoteText"/>
        <w:numPr>
          <w:ilvl w:val="0"/>
          <w:numId w:val="34"/>
        </w:numPr>
        <w:rPr>
          <w:rFonts w:ascii="Arial" w:hAnsi="Arial" w:cs="Arial"/>
          <w:sz w:val="18"/>
          <w:szCs w:val="18"/>
        </w:rPr>
      </w:pPr>
      <w:hyperlink r:id="rId7" w:tgtFrame="_blank" w:tooltip="College of Policing Authorised Professional Practice on Domestic Abuse" w:history="1">
        <w:r w:rsidR="004C76F5" w:rsidRPr="00CF3EEB">
          <w:rPr>
            <w:rStyle w:val="Hyperlink"/>
            <w:rFonts w:ascii="Arial" w:hAnsi="Arial" w:cs="Arial"/>
            <w:sz w:val="18"/>
            <w:szCs w:val="18"/>
          </w:rPr>
          <w:t>College of Policing Authorised Professional Practice on Domestic Abuse</w:t>
        </w:r>
      </w:hyperlink>
      <w:r w:rsidR="004C76F5" w:rsidRPr="00CF3EEB">
        <w:rPr>
          <w:rFonts w:ascii="Arial" w:hAnsi="Arial" w:cs="Arial"/>
          <w:sz w:val="18"/>
          <w:szCs w:val="18"/>
        </w:rPr>
        <w:t xml:space="preserve"> </w:t>
      </w:r>
    </w:p>
    <w:p w:rsidR="004C76F5" w:rsidRPr="00CF3EEB" w:rsidRDefault="00590519" w:rsidP="002922BC">
      <w:pPr>
        <w:pStyle w:val="FootnoteText"/>
        <w:numPr>
          <w:ilvl w:val="0"/>
          <w:numId w:val="34"/>
        </w:numPr>
        <w:rPr>
          <w:rFonts w:ascii="Arial" w:hAnsi="Arial" w:cs="Arial"/>
          <w:sz w:val="18"/>
          <w:szCs w:val="18"/>
        </w:rPr>
      </w:pPr>
      <w:hyperlink r:id="rId8" w:history="1">
        <w:r w:rsidR="004C76F5" w:rsidRPr="00CF3EEB">
          <w:rPr>
            <w:rStyle w:val="Hyperlink"/>
            <w:rFonts w:ascii="Arial" w:hAnsi="Arial" w:cs="Arial"/>
            <w:sz w:val="18"/>
            <w:szCs w:val="18"/>
          </w:rPr>
          <w:t>Protocol between the Police Service and Crown Prosecution Service in the Investigation and Prosecution of Rape</w:t>
        </w:r>
      </w:hyperlink>
    </w:p>
    <w:p w:rsidR="004C76F5" w:rsidRPr="003E7063" w:rsidRDefault="004C76F5" w:rsidP="002922BC">
      <w:pPr>
        <w:pStyle w:val="FootnoteText"/>
        <w:rPr>
          <w:rFonts w:ascii="Arial" w:hAnsi="Arial" w:cs="Arial"/>
          <w:b/>
          <w:i/>
          <w:sz w:val="18"/>
          <w:szCs w:val="18"/>
        </w:rPr>
      </w:pPr>
    </w:p>
    <w:p w:rsidR="004C76F5" w:rsidRPr="003E7063" w:rsidRDefault="004C76F5" w:rsidP="002922BC">
      <w:pPr>
        <w:pStyle w:val="FootnoteText"/>
        <w:rPr>
          <w:rFonts w:ascii="Arial" w:hAnsi="Arial" w:cs="Arial"/>
          <w:b/>
          <w:i/>
          <w:sz w:val="18"/>
          <w:szCs w:val="18"/>
        </w:rPr>
      </w:pPr>
      <w:r w:rsidRPr="003E7063">
        <w:rPr>
          <w:rFonts w:ascii="Arial" w:hAnsi="Arial" w:cs="Arial"/>
          <w:b/>
          <w:i/>
          <w:sz w:val="18"/>
          <w:szCs w:val="18"/>
        </w:rPr>
        <w:t>in cases involving rape; police should consider the early investigative advice procedure as set out in the Director’s Guidance on Charging</w:t>
      </w:r>
    </w:p>
    <w:p w:rsidR="004C76F5" w:rsidRDefault="004C76F5" w:rsidP="002922BC">
      <w:pPr>
        <w:pStyle w:val="FootnoteText"/>
        <w:ind w:left="360"/>
      </w:pPr>
    </w:p>
  </w:footnote>
  <w:footnote w:id="9">
    <w:p w:rsidR="004C76F5" w:rsidRPr="00CF3EEB" w:rsidRDefault="004C76F5">
      <w:pPr>
        <w:pStyle w:val="FootnoteText"/>
        <w:rPr>
          <w:rFonts w:ascii="Arial" w:hAnsi="Arial" w:cs="Arial"/>
          <w:sz w:val="18"/>
          <w:szCs w:val="18"/>
        </w:rPr>
      </w:pPr>
      <w:r w:rsidRPr="009E14BE">
        <w:rPr>
          <w:rStyle w:val="FootnoteReference"/>
          <w:rFonts w:ascii="Arial" w:hAnsi="Arial" w:cs="Arial"/>
          <w:sz w:val="18"/>
          <w:szCs w:val="18"/>
        </w:rPr>
        <w:footnoteRef/>
      </w:r>
      <w:r w:rsidRPr="009E14BE">
        <w:rPr>
          <w:rFonts w:ascii="Arial" w:hAnsi="Arial" w:cs="Arial"/>
          <w:sz w:val="18"/>
          <w:szCs w:val="18"/>
        </w:rPr>
        <w:t xml:space="preserve"> It is recognised that the DASH model is under review and a refined model is currently being piloted.</w:t>
      </w:r>
    </w:p>
  </w:footnote>
  <w:footnote w:id="10">
    <w:p w:rsidR="004C76F5" w:rsidRPr="00CC2FBC" w:rsidRDefault="004C76F5">
      <w:pPr>
        <w:pStyle w:val="FootnoteText"/>
        <w:rPr>
          <w:rFonts w:ascii="Arial" w:hAnsi="Arial" w:cs="Arial"/>
          <w:sz w:val="18"/>
          <w:szCs w:val="18"/>
        </w:rPr>
      </w:pPr>
      <w:r w:rsidRPr="00CC2FBC">
        <w:rPr>
          <w:rStyle w:val="FootnoteReference"/>
          <w:rFonts w:ascii="Arial" w:hAnsi="Arial" w:cs="Arial"/>
          <w:sz w:val="18"/>
          <w:szCs w:val="18"/>
        </w:rPr>
        <w:footnoteRef/>
      </w:r>
      <w:r>
        <w:rPr>
          <w:rFonts w:ascii="Arial" w:hAnsi="Arial" w:cs="Arial"/>
          <w:sz w:val="18"/>
          <w:szCs w:val="18"/>
        </w:rPr>
        <w:t xml:space="preserve"> It is important to note that HBV/A and FM do not</w:t>
      </w:r>
      <w:r w:rsidRPr="00CC2FBC">
        <w:rPr>
          <w:rFonts w:ascii="Arial" w:hAnsi="Arial" w:cs="Arial"/>
          <w:sz w:val="18"/>
          <w:szCs w:val="18"/>
        </w:rPr>
        <w:t xml:space="preserve"> always follow a pattern of risk factors; they can </w:t>
      </w:r>
      <w:r>
        <w:rPr>
          <w:rFonts w:ascii="Arial" w:hAnsi="Arial" w:cs="Arial"/>
          <w:sz w:val="18"/>
          <w:szCs w:val="18"/>
        </w:rPr>
        <w:t>escalate from</w:t>
      </w:r>
      <w:r w:rsidRPr="00CC2FBC">
        <w:rPr>
          <w:rFonts w:ascii="Arial" w:hAnsi="Arial" w:cs="Arial"/>
          <w:sz w:val="18"/>
          <w:szCs w:val="18"/>
        </w:rPr>
        <w:t xml:space="preserve"> seemingly minor incidents to homicide </w:t>
      </w:r>
      <w:r>
        <w:rPr>
          <w:rFonts w:ascii="Arial" w:hAnsi="Arial" w:cs="Arial"/>
          <w:sz w:val="18"/>
          <w:szCs w:val="18"/>
        </w:rPr>
        <w:t xml:space="preserve">quickly; </w:t>
      </w:r>
      <w:r w:rsidRPr="00CC2FBC">
        <w:rPr>
          <w:rFonts w:ascii="Arial" w:hAnsi="Arial" w:cs="Arial"/>
          <w:sz w:val="18"/>
          <w:szCs w:val="18"/>
        </w:rPr>
        <w:t>a professional understanding of the dynamics is</w:t>
      </w:r>
      <w:r>
        <w:rPr>
          <w:rFonts w:ascii="Arial" w:hAnsi="Arial" w:cs="Arial"/>
          <w:sz w:val="18"/>
          <w:szCs w:val="18"/>
        </w:rPr>
        <w:t xml:space="preserve"> therefore</w:t>
      </w:r>
      <w:r w:rsidRPr="00CC2FBC">
        <w:rPr>
          <w:rFonts w:ascii="Arial" w:hAnsi="Arial" w:cs="Arial"/>
          <w:sz w:val="18"/>
          <w:szCs w:val="18"/>
        </w:rPr>
        <w:t xml:space="preserve"> important</w:t>
      </w:r>
      <w:r>
        <w:rPr>
          <w:rFonts w:ascii="Arial" w:hAnsi="Arial" w:cs="Arial"/>
          <w:sz w:val="18"/>
          <w:szCs w:val="18"/>
        </w:rPr>
        <w:t>.</w:t>
      </w:r>
    </w:p>
  </w:footnote>
  <w:footnote w:id="11">
    <w:p w:rsidR="004C76F5" w:rsidRPr="003230AE" w:rsidRDefault="004C76F5">
      <w:pPr>
        <w:pStyle w:val="FootnoteText"/>
        <w:rPr>
          <w:rFonts w:ascii="Arial" w:hAnsi="Arial" w:cs="Arial"/>
          <w:sz w:val="18"/>
          <w:szCs w:val="18"/>
        </w:rPr>
      </w:pPr>
      <w:r w:rsidRPr="003230AE">
        <w:rPr>
          <w:rStyle w:val="FootnoteReference"/>
          <w:rFonts w:ascii="Arial" w:hAnsi="Arial" w:cs="Arial"/>
          <w:sz w:val="18"/>
          <w:szCs w:val="18"/>
        </w:rPr>
        <w:footnoteRef/>
      </w:r>
      <w:r w:rsidRPr="003230AE">
        <w:rPr>
          <w:rFonts w:ascii="Arial" w:hAnsi="Arial" w:cs="Arial"/>
          <w:sz w:val="18"/>
          <w:szCs w:val="18"/>
        </w:rPr>
        <w:t xml:space="preserve"> </w:t>
      </w:r>
      <w:r>
        <w:rPr>
          <w:rFonts w:ascii="Arial" w:hAnsi="Arial" w:cs="Arial"/>
          <w:sz w:val="18"/>
          <w:szCs w:val="18"/>
        </w:rPr>
        <w:t>Whilst the DASH assessment is the only nationally recognised risk assessment, some police forces have incorporated additional questions on HBV/A into this and strengthened their risk assessment plans and processes.  Forces are encouraged to do this.</w:t>
      </w:r>
    </w:p>
  </w:footnote>
  <w:footnote w:id="12">
    <w:p w:rsidR="004C76F5" w:rsidRDefault="004C76F5" w:rsidP="005A2777">
      <w:pPr>
        <w:pStyle w:val="FootnoteText"/>
        <w:rPr>
          <w:rFonts w:ascii="Arial" w:hAnsi="Arial" w:cs="Arial"/>
          <w:sz w:val="18"/>
          <w:szCs w:val="18"/>
        </w:rPr>
      </w:pPr>
      <w:r w:rsidRPr="000B2E72">
        <w:rPr>
          <w:rStyle w:val="FootnoteReference"/>
          <w:rFonts w:ascii="Arial" w:hAnsi="Arial" w:cs="Arial"/>
          <w:sz w:val="18"/>
          <w:szCs w:val="18"/>
        </w:rPr>
        <w:footnoteRef/>
      </w:r>
      <w:r w:rsidRPr="000B2E72">
        <w:rPr>
          <w:rFonts w:ascii="Arial" w:hAnsi="Arial" w:cs="Arial"/>
          <w:sz w:val="18"/>
          <w:szCs w:val="18"/>
        </w:rPr>
        <w:t xml:space="preserve"> </w:t>
      </w:r>
      <w:r>
        <w:rPr>
          <w:rFonts w:ascii="Arial" w:hAnsi="Arial" w:cs="Arial"/>
          <w:sz w:val="18"/>
          <w:szCs w:val="18"/>
        </w:rPr>
        <w:t xml:space="preserve">Information on how to apply for a FMPO can be found here: </w:t>
      </w:r>
      <w:hyperlink r:id="rId9" w:history="1">
        <w:r w:rsidRPr="00D27B4C">
          <w:rPr>
            <w:rStyle w:val="Hyperlink"/>
            <w:rFonts w:ascii="Arial" w:hAnsi="Arial" w:cs="Arial"/>
            <w:sz w:val="18"/>
            <w:szCs w:val="18"/>
          </w:rPr>
          <w:t>https://www.gov.uk/apply-forced-marriage-protection-order</w:t>
        </w:r>
      </w:hyperlink>
    </w:p>
    <w:p w:rsidR="004C76F5" w:rsidRPr="000B2E72" w:rsidRDefault="004C76F5" w:rsidP="005A2777">
      <w:pPr>
        <w:pStyle w:val="FootnoteText"/>
        <w:rPr>
          <w:rFonts w:ascii="Arial" w:hAnsi="Arial" w:cs="Arial"/>
          <w:sz w:val="18"/>
          <w:szCs w:val="18"/>
        </w:rPr>
      </w:pPr>
    </w:p>
  </w:footnote>
  <w:footnote w:id="13">
    <w:p w:rsidR="004C76F5" w:rsidRPr="00300FCA" w:rsidRDefault="004C76F5" w:rsidP="00300FCA">
      <w:pPr>
        <w:pStyle w:val="FootnoteText"/>
        <w:rPr>
          <w:rFonts w:ascii="Arial" w:hAnsi="Arial" w:cs="Arial"/>
          <w:sz w:val="18"/>
          <w:szCs w:val="18"/>
        </w:rPr>
      </w:pPr>
      <w:r w:rsidRPr="00300FCA">
        <w:rPr>
          <w:rStyle w:val="FootnoteReference"/>
          <w:rFonts w:ascii="Arial" w:hAnsi="Arial" w:cs="Arial"/>
          <w:sz w:val="18"/>
          <w:szCs w:val="18"/>
        </w:rPr>
        <w:footnoteRef/>
      </w:r>
      <w:r w:rsidRPr="00300FCA">
        <w:rPr>
          <w:rFonts w:ascii="Arial" w:hAnsi="Arial" w:cs="Arial"/>
          <w:sz w:val="18"/>
          <w:szCs w:val="18"/>
        </w:rPr>
        <w:t xml:space="preserve"> DPP exemptions for domestic abuse conditional cautions are only currently granted for: Leicestershire, Staffordshire, West Yorkshire and; Hampshire as part of specific pilot sites.</w:t>
      </w:r>
    </w:p>
    <w:p w:rsidR="004C76F5" w:rsidRDefault="004C76F5" w:rsidP="00300FCA">
      <w:pPr>
        <w:pStyle w:val="FootnoteText"/>
      </w:pPr>
    </w:p>
  </w:footnote>
  <w:footnote w:id="14">
    <w:p w:rsidR="004C76F5" w:rsidRPr="00E65FFF" w:rsidRDefault="004C76F5">
      <w:pPr>
        <w:pStyle w:val="FootnoteText"/>
        <w:rPr>
          <w:rFonts w:ascii="Arial" w:hAnsi="Arial" w:cs="Arial"/>
          <w:sz w:val="18"/>
          <w:szCs w:val="18"/>
        </w:rPr>
      </w:pPr>
      <w:r w:rsidRPr="00E65FFF">
        <w:rPr>
          <w:rStyle w:val="FootnoteReference"/>
          <w:rFonts w:ascii="Arial" w:hAnsi="Arial" w:cs="Arial"/>
          <w:sz w:val="18"/>
          <w:szCs w:val="18"/>
        </w:rPr>
        <w:footnoteRef/>
      </w:r>
      <w:r w:rsidRPr="00E65FFF">
        <w:rPr>
          <w:rFonts w:ascii="Arial" w:hAnsi="Arial" w:cs="Arial"/>
          <w:sz w:val="18"/>
          <w:szCs w:val="18"/>
        </w:rPr>
        <w:t xml:space="preserve"> </w:t>
      </w:r>
      <w:r>
        <w:rPr>
          <w:rFonts w:ascii="Arial" w:hAnsi="Arial" w:cs="Arial"/>
          <w:sz w:val="18"/>
          <w:szCs w:val="18"/>
        </w:rPr>
        <w:t xml:space="preserve">However this should be discussed with the </w:t>
      </w:r>
      <w:r w:rsidR="003013D7">
        <w:rPr>
          <w:rFonts w:ascii="Arial" w:hAnsi="Arial" w:cs="Arial"/>
          <w:sz w:val="18"/>
          <w:szCs w:val="18"/>
        </w:rPr>
        <w:t>complainant</w:t>
      </w:r>
      <w:r>
        <w:rPr>
          <w:rFonts w:ascii="Arial" w:hAnsi="Arial" w:cs="Arial"/>
          <w:sz w:val="18"/>
          <w:szCs w:val="18"/>
        </w:rPr>
        <w:t xml:space="preserve">; some </w:t>
      </w:r>
      <w:r w:rsidR="003013D7">
        <w:rPr>
          <w:rFonts w:ascii="Arial" w:hAnsi="Arial" w:cs="Arial"/>
          <w:sz w:val="18"/>
          <w:szCs w:val="18"/>
        </w:rPr>
        <w:t>complainant</w:t>
      </w:r>
      <w:r>
        <w:rPr>
          <w:rFonts w:ascii="Arial" w:hAnsi="Arial" w:cs="Arial"/>
          <w:sz w:val="18"/>
          <w:szCs w:val="18"/>
        </w:rPr>
        <w:t>s may find a summons a useful tool to demonstrate to their families/extended families that they had no choice but to attend court.</w:t>
      </w:r>
    </w:p>
  </w:footnote>
  <w:footnote w:id="15">
    <w:p w:rsidR="004C76F5" w:rsidRPr="00687E5A" w:rsidRDefault="004C76F5">
      <w:pPr>
        <w:pStyle w:val="FootnoteText"/>
        <w:rPr>
          <w:rFonts w:ascii="Arial" w:hAnsi="Arial" w:cs="Arial"/>
          <w:sz w:val="18"/>
          <w:szCs w:val="18"/>
        </w:rPr>
      </w:pPr>
      <w:r w:rsidRPr="00687E5A">
        <w:rPr>
          <w:rStyle w:val="FootnoteReference"/>
          <w:rFonts w:ascii="Arial" w:hAnsi="Arial" w:cs="Arial"/>
          <w:sz w:val="18"/>
          <w:szCs w:val="18"/>
        </w:rPr>
        <w:footnoteRef/>
      </w:r>
      <w:r w:rsidRPr="00687E5A">
        <w:rPr>
          <w:rFonts w:ascii="Arial" w:hAnsi="Arial" w:cs="Arial"/>
          <w:sz w:val="18"/>
          <w:szCs w:val="18"/>
        </w:rPr>
        <w:t xml:space="preserve"> </w:t>
      </w:r>
      <w:r>
        <w:rPr>
          <w:rFonts w:ascii="Arial" w:hAnsi="Arial" w:cs="Arial"/>
          <w:sz w:val="18"/>
          <w:szCs w:val="18"/>
        </w:rPr>
        <w:t xml:space="preserve">N.B: do not assume that if a </w:t>
      </w:r>
      <w:r w:rsidR="003013D7">
        <w:rPr>
          <w:rFonts w:ascii="Arial" w:hAnsi="Arial" w:cs="Arial"/>
          <w:sz w:val="18"/>
          <w:szCs w:val="18"/>
        </w:rPr>
        <w:t>complainant</w:t>
      </w:r>
      <w:r>
        <w:rPr>
          <w:rFonts w:ascii="Arial" w:hAnsi="Arial" w:cs="Arial"/>
          <w:sz w:val="18"/>
          <w:szCs w:val="18"/>
        </w:rPr>
        <w:t xml:space="preserve"> is from a particular community they would want to be referred to an organisation representative of that community.</w:t>
      </w:r>
    </w:p>
  </w:footnote>
  <w:footnote w:id="16">
    <w:p w:rsidR="004C76F5" w:rsidRDefault="004C76F5">
      <w:pPr>
        <w:pStyle w:val="FootnoteText"/>
      </w:pPr>
      <w:r w:rsidRPr="00E71C7D">
        <w:rPr>
          <w:rStyle w:val="FootnoteReference"/>
          <w:rFonts w:ascii="Arial" w:hAnsi="Arial" w:cs="Arial"/>
          <w:sz w:val="18"/>
          <w:szCs w:val="18"/>
        </w:rPr>
        <w:footnoteRef/>
      </w:r>
      <w:r w:rsidRPr="00E71C7D">
        <w:rPr>
          <w:rFonts w:ascii="Arial" w:hAnsi="Arial" w:cs="Arial"/>
          <w:sz w:val="18"/>
          <w:szCs w:val="18"/>
        </w:rPr>
        <w:t xml:space="preserve"> </w:t>
      </w:r>
      <w:r>
        <w:rPr>
          <w:rFonts w:ascii="Arial" w:hAnsi="Arial" w:cs="Arial"/>
          <w:sz w:val="18"/>
          <w:szCs w:val="18"/>
        </w:rPr>
        <w:t xml:space="preserve">Where special measures will be used in a HBV/A and/or FM case it is recommended a special measures meeting is held.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519" w:rsidRDefault="005905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519" w:rsidRDefault="005905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519" w:rsidRDefault="005905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40C3"/>
    <w:multiLevelType w:val="multilevel"/>
    <w:tmpl w:val="79F2CC56"/>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D36B38"/>
    <w:multiLevelType w:val="multilevel"/>
    <w:tmpl w:val="2CB22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83338"/>
    <w:multiLevelType w:val="hybridMultilevel"/>
    <w:tmpl w:val="6D7212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07225146"/>
    <w:multiLevelType w:val="hybridMultilevel"/>
    <w:tmpl w:val="59E06D5A"/>
    <w:lvl w:ilvl="0" w:tplc="AF609D5A">
      <w:start w:val="1"/>
      <w:numFmt w:val="bullet"/>
      <w:lvlText w:val="̴"/>
      <w:lvlJc w:val="left"/>
      <w:pPr>
        <w:ind w:left="720" w:hanging="360"/>
      </w:pPr>
      <w:rPr>
        <w:rFonts w:ascii="Courier New" w:hAnsi="Courier New" w:hint="default"/>
        <w:b w:val="0"/>
      </w:rPr>
    </w:lvl>
    <w:lvl w:ilvl="1" w:tplc="AF609D5A">
      <w:start w:val="1"/>
      <w:numFmt w:val="bullet"/>
      <w:lvlText w:val="̴"/>
      <w:lvlJc w:val="left"/>
      <w:pPr>
        <w:ind w:left="1440" w:hanging="360"/>
      </w:pPr>
      <w:rPr>
        <w:rFonts w:ascii="Courier New" w:hAnsi="Courier New" w:hint="default"/>
        <w:color w:val="auto"/>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0A470968"/>
    <w:multiLevelType w:val="multilevel"/>
    <w:tmpl w:val="21C6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ED20A5"/>
    <w:multiLevelType w:val="hybridMultilevel"/>
    <w:tmpl w:val="13285B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0DCC06F8"/>
    <w:multiLevelType w:val="multilevel"/>
    <w:tmpl w:val="0542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9D207F"/>
    <w:multiLevelType w:val="multilevel"/>
    <w:tmpl w:val="DF0A033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9C26BF6"/>
    <w:multiLevelType w:val="hybridMultilevel"/>
    <w:tmpl w:val="07721E60"/>
    <w:lvl w:ilvl="0" w:tplc="10CCA81E">
      <w:start w:val="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765C61"/>
    <w:multiLevelType w:val="multilevel"/>
    <w:tmpl w:val="9272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645EA8"/>
    <w:multiLevelType w:val="multilevel"/>
    <w:tmpl w:val="1968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1B0184"/>
    <w:multiLevelType w:val="hybridMultilevel"/>
    <w:tmpl w:val="C44ADCF8"/>
    <w:lvl w:ilvl="0" w:tplc="D01A10EC">
      <w:start w:val="1"/>
      <w:numFmt w:val="bullet"/>
      <w:lvlText w:val="•"/>
      <w:lvlJc w:val="left"/>
      <w:pPr>
        <w:tabs>
          <w:tab w:val="num" w:pos="720"/>
        </w:tabs>
        <w:ind w:left="720" w:hanging="360"/>
      </w:pPr>
      <w:rPr>
        <w:rFonts w:ascii="Arial" w:hAnsi="Arial" w:hint="default"/>
      </w:rPr>
    </w:lvl>
    <w:lvl w:ilvl="1" w:tplc="93FCD4D2" w:tentative="1">
      <w:start w:val="1"/>
      <w:numFmt w:val="bullet"/>
      <w:lvlText w:val="•"/>
      <w:lvlJc w:val="left"/>
      <w:pPr>
        <w:tabs>
          <w:tab w:val="num" w:pos="1440"/>
        </w:tabs>
        <w:ind w:left="1440" w:hanging="360"/>
      </w:pPr>
      <w:rPr>
        <w:rFonts w:ascii="Arial" w:hAnsi="Arial" w:hint="default"/>
      </w:rPr>
    </w:lvl>
    <w:lvl w:ilvl="2" w:tplc="3DA699E8" w:tentative="1">
      <w:start w:val="1"/>
      <w:numFmt w:val="bullet"/>
      <w:lvlText w:val="•"/>
      <w:lvlJc w:val="left"/>
      <w:pPr>
        <w:tabs>
          <w:tab w:val="num" w:pos="2160"/>
        </w:tabs>
        <w:ind w:left="2160" w:hanging="360"/>
      </w:pPr>
      <w:rPr>
        <w:rFonts w:ascii="Arial" w:hAnsi="Arial" w:hint="default"/>
      </w:rPr>
    </w:lvl>
    <w:lvl w:ilvl="3" w:tplc="0902107C" w:tentative="1">
      <w:start w:val="1"/>
      <w:numFmt w:val="bullet"/>
      <w:lvlText w:val="•"/>
      <w:lvlJc w:val="left"/>
      <w:pPr>
        <w:tabs>
          <w:tab w:val="num" w:pos="2880"/>
        </w:tabs>
        <w:ind w:left="2880" w:hanging="360"/>
      </w:pPr>
      <w:rPr>
        <w:rFonts w:ascii="Arial" w:hAnsi="Arial" w:hint="default"/>
      </w:rPr>
    </w:lvl>
    <w:lvl w:ilvl="4" w:tplc="B2CCC4A0" w:tentative="1">
      <w:start w:val="1"/>
      <w:numFmt w:val="bullet"/>
      <w:lvlText w:val="•"/>
      <w:lvlJc w:val="left"/>
      <w:pPr>
        <w:tabs>
          <w:tab w:val="num" w:pos="3600"/>
        </w:tabs>
        <w:ind w:left="3600" w:hanging="360"/>
      </w:pPr>
      <w:rPr>
        <w:rFonts w:ascii="Arial" w:hAnsi="Arial" w:hint="default"/>
      </w:rPr>
    </w:lvl>
    <w:lvl w:ilvl="5" w:tplc="DAD473B6" w:tentative="1">
      <w:start w:val="1"/>
      <w:numFmt w:val="bullet"/>
      <w:lvlText w:val="•"/>
      <w:lvlJc w:val="left"/>
      <w:pPr>
        <w:tabs>
          <w:tab w:val="num" w:pos="4320"/>
        </w:tabs>
        <w:ind w:left="4320" w:hanging="360"/>
      </w:pPr>
      <w:rPr>
        <w:rFonts w:ascii="Arial" w:hAnsi="Arial" w:hint="default"/>
      </w:rPr>
    </w:lvl>
    <w:lvl w:ilvl="6" w:tplc="81BA5B40" w:tentative="1">
      <w:start w:val="1"/>
      <w:numFmt w:val="bullet"/>
      <w:lvlText w:val="•"/>
      <w:lvlJc w:val="left"/>
      <w:pPr>
        <w:tabs>
          <w:tab w:val="num" w:pos="5040"/>
        </w:tabs>
        <w:ind w:left="5040" w:hanging="360"/>
      </w:pPr>
      <w:rPr>
        <w:rFonts w:ascii="Arial" w:hAnsi="Arial" w:hint="default"/>
      </w:rPr>
    </w:lvl>
    <w:lvl w:ilvl="7" w:tplc="41C0C1C6" w:tentative="1">
      <w:start w:val="1"/>
      <w:numFmt w:val="bullet"/>
      <w:lvlText w:val="•"/>
      <w:lvlJc w:val="left"/>
      <w:pPr>
        <w:tabs>
          <w:tab w:val="num" w:pos="5760"/>
        </w:tabs>
        <w:ind w:left="5760" w:hanging="360"/>
      </w:pPr>
      <w:rPr>
        <w:rFonts w:ascii="Arial" w:hAnsi="Arial" w:hint="default"/>
      </w:rPr>
    </w:lvl>
    <w:lvl w:ilvl="8" w:tplc="7206F0B8" w:tentative="1">
      <w:start w:val="1"/>
      <w:numFmt w:val="bullet"/>
      <w:lvlText w:val="•"/>
      <w:lvlJc w:val="left"/>
      <w:pPr>
        <w:tabs>
          <w:tab w:val="num" w:pos="6480"/>
        </w:tabs>
        <w:ind w:left="6480" w:hanging="360"/>
      </w:pPr>
      <w:rPr>
        <w:rFonts w:ascii="Arial" w:hAnsi="Arial" w:hint="default"/>
      </w:rPr>
    </w:lvl>
  </w:abstractNum>
  <w:abstractNum w:abstractNumId="12">
    <w:nsid w:val="1F6E7E60"/>
    <w:multiLevelType w:val="hybridMultilevel"/>
    <w:tmpl w:val="5A365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265F37E9"/>
    <w:multiLevelType w:val="multilevel"/>
    <w:tmpl w:val="566C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EC1AED"/>
    <w:multiLevelType w:val="hybridMultilevel"/>
    <w:tmpl w:val="7B48F2C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2E791E71"/>
    <w:multiLevelType w:val="multilevel"/>
    <w:tmpl w:val="FFD2B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FC41F8"/>
    <w:multiLevelType w:val="hybridMultilevel"/>
    <w:tmpl w:val="26644A3C"/>
    <w:lvl w:ilvl="0" w:tplc="DEB8BA0E">
      <w:start w:val="7"/>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B279FB"/>
    <w:multiLevelType w:val="hybridMultilevel"/>
    <w:tmpl w:val="A0902102"/>
    <w:lvl w:ilvl="0" w:tplc="6DBC1C80">
      <w:start w:val="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62020DC"/>
    <w:multiLevelType w:val="hybridMultilevel"/>
    <w:tmpl w:val="54F6F4F2"/>
    <w:lvl w:ilvl="0" w:tplc="82DA7B8E">
      <w:start w:val="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F74599"/>
    <w:multiLevelType w:val="hybridMultilevel"/>
    <w:tmpl w:val="B12E9D36"/>
    <w:lvl w:ilvl="0" w:tplc="FD2ADAE2">
      <w:start w:val="4"/>
      <w:numFmt w:val="bullet"/>
      <w:lvlText w:val="-"/>
      <w:lvlJc w:val="left"/>
      <w:pPr>
        <w:ind w:left="720" w:hanging="360"/>
      </w:pPr>
      <w:rPr>
        <w:rFonts w:ascii="Times New Roman" w:eastAsia="Times New Roman" w:hAnsi="Times New Roman" w:hint="default"/>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450C7C"/>
    <w:multiLevelType w:val="hybridMultilevel"/>
    <w:tmpl w:val="539048FC"/>
    <w:lvl w:ilvl="0" w:tplc="A56A6544">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26389D"/>
    <w:multiLevelType w:val="multilevel"/>
    <w:tmpl w:val="1C7E5F34"/>
    <w:lvl w:ilvl="0">
      <w:start w:val="4"/>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0CB60E7"/>
    <w:multiLevelType w:val="multilevel"/>
    <w:tmpl w:val="ABAEC240"/>
    <w:lvl w:ilvl="0">
      <w:start w:val="5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B3449D4"/>
    <w:multiLevelType w:val="hybridMultilevel"/>
    <w:tmpl w:val="B7D609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5056480A"/>
    <w:multiLevelType w:val="multilevel"/>
    <w:tmpl w:val="C5C23B6E"/>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5F013D1"/>
    <w:multiLevelType w:val="multilevel"/>
    <w:tmpl w:val="D684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81130D"/>
    <w:multiLevelType w:val="hybridMultilevel"/>
    <w:tmpl w:val="E62221CC"/>
    <w:lvl w:ilvl="0" w:tplc="373C60D2">
      <w:start w:val="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C434997"/>
    <w:multiLevelType w:val="multilevel"/>
    <w:tmpl w:val="C0DAF1DA"/>
    <w:lvl w:ilvl="0">
      <w:start w:val="4"/>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5DAE1DBB"/>
    <w:multiLevelType w:val="multilevel"/>
    <w:tmpl w:val="799CD1E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5DE2760B"/>
    <w:multiLevelType w:val="hybridMultilevel"/>
    <w:tmpl w:val="991EA58C"/>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0">
    <w:nsid w:val="61A9572C"/>
    <w:multiLevelType w:val="hybridMultilevel"/>
    <w:tmpl w:val="6974F250"/>
    <w:lvl w:ilvl="0" w:tplc="FD2ADAE2">
      <w:start w:val="4"/>
      <w:numFmt w:val="bullet"/>
      <w:lvlText w:val="-"/>
      <w:lvlJc w:val="left"/>
      <w:pPr>
        <w:ind w:left="720" w:hanging="360"/>
      </w:pPr>
      <w:rPr>
        <w:rFonts w:ascii="Times New Roman" w:eastAsia="Times New Roman" w:hAnsi="Times New Roman" w:hint="default"/>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3241C81"/>
    <w:multiLevelType w:val="multilevel"/>
    <w:tmpl w:val="6C684006"/>
    <w:lvl w:ilvl="0">
      <w:start w:val="5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8D4483D"/>
    <w:multiLevelType w:val="multilevel"/>
    <w:tmpl w:val="41944BA8"/>
    <w:lvl w:ilvl="0">
      <w:start w:val="4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F3E5A61"/>
    <w:multiLevelType w:val="multilevel"/>
    <w:tmpl w:val="2A3A5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6B6534"/>
    <w:multiLevelType w:val="hybridMultilevel"/>
    <w:tmpl w:val="7DAEF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758A7587"/>
    <w:multiLevelType w:val="multilevel"/>
    <w:tmpl w:val="00EC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62515B"/>
    <w:multiLevelType w:val="multilevel"/>
    <w:tmpl w:val="A3C65B58"/>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nsid w:val="7EEB4C7D"/>
    <w:multiLevelType w:val="multilevel"/>
    <w:tmpl w:val="30DCC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28"/>
  </w:num>
  <w:num w:numId="4">
    <w:abstractNumId w:val="1"/>
  </w:num>
  <w:num w:numId="5">
    <w:abstractNumId w:val="35"/>
  </w:num>
  <w:num w:numId="6">
    <w:abstractNumId w:val="32"/>
  </w:num>
  <w:num w:numId="7">
    <w:abstractNumId w:val="29"/>
  </w:num>
  <w:num w:numId="8">
    <w:abstractNumId w:val="18"/>
  </w:num>
  <w:num w:numId="9">
    <w:abstractNumId w:val="26"/>
  </w:num>
  <w:num w:numId="10">
    <w:abstractNumId w:val="7"/>
  </w:num>
  <w:num w:numId="11">
    <w:abstractNumId w:val="27"/>
  </w:num>
  <w:num w:numId="12">
    <w:abstractNumId w:val="16"/>
  </w:num>
  <w:num w:numId="13">
    <w:abstractNumId w:val="24"/>
  </w:num>
  <w:num w:numId="14">
    <w:abstractNumId w:val="17"/>
  </w:num>
  <w:num w:numId="15">
    <w:abstractNumId w:val="21"/>
  </w:num>
  <w:num w:numId="16">
    <w:abstractNumId w:val="33"/>
  </w:num>
  <w:num w:numId="17">
    <w:abstractNumId w:val="6"/>
  </w:num>
  <w:num w:numId="18">
    <w:abstractNumId w:val="22"/>
  </w:num>
  <w:num w:numId="19">
    <w:abstractNumId w:val="31"/>
  </w:num>
  <w:num w:numId="20">
    <w:abstractNumId w:val="9"/>
  </w:num>
  <w:num w:numId="21">
    <w:abstractNumId w:val="10"/>
  </w:num>
  <w:num w:numId="22">
    <w:abstractNumId w:val="4"/>
  </w:num>
  <w:num w:numId="23">
    <w:abstractNumId w:val="8"/>
  </w:num>
  <w:num w:numId="24">
    <w:abstractNumId w:val="25"/>
  </w:num>
  <w:num w:numId="25">
    <w:abstractNumId w:val="20"/>
  </w:num>
  <w:num w:numId="26">
    <w:abstractNumId w:val="23"/>
  </w:num>
  <w:num w:numId="27">
    <w:abstractNumId w:val="15"/>
  </w:num>
  <w:num w:numId="28">
    <w:abstractNumId w:val="37"/>
  </w:num>
  <w:num w:numId="29">
    <w:abstractNumId w:val="36"/>
  </w:num>
  <w:num w:numId="30">
    <w:abstractNumId w:val="19"/>
  </w:num>
  <w:num w:numId="31">
    <w:abstractNumId w:val="14"/>
  </w:num>
  <w:num w:numId="32">
    <w:abstractNumId w:val="12"/>
  </w:num>
  <w:num w:numId="33">
    <w:abstractNumId w:val="30"/>
  </w:num>
  <w:num w:numId="34">
    <w:abstractNumId w:val="13"/>
  </w:num>
  <w:num w:numId="35">
    <w:abstractNumId w:val="2"/>
  </w:num>
  <w:num w:numId="36">
    <w:abstractNumId w:val="34"/>
  </w:num>
  <w:num w:numId="37">
    <w:abstractNumId w:val="3"/>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10E"/>
    <w:rsid w:val="00000571"/>
    <w:rsid w:val="000075B6"/>
    <w:rsid w:val="00007ABF"/>
    <w:rsid w:val="00011DDE"/>
    <w:rsid w:val="00012773"/>
    <w:rsid w:val="0002051F"/>
    <w:rsid w:val="0002623B"/>
    <w:rsid w:val="0003253A"/>
    <w:rsid w:val="00035992"/>
    <w:rsid w:val="000359DD"/>
    <w:rsid w:val="000505D8"/>
    <w:rsid w:val="0005218B"/>
    <w:rsid w:val="00052ACC"/>
    <w:rsid w:val="000557D2"/>
    <w:rsid w:val="000607BF"/>
    <w:rsid w:val="0006107F"/>
    <w:rsid w:val="000611E7"/>
    <w:rsid w:val="00062471"/>
    <w:rsid w:val="00066064"/>
    <w:rsid w:val="000725AB"/>
    <w:rsid w:val="000804DE"/>
    <w:rsid w:val="0008459D"/>
    <w:rsid w:val="000900B9"/>
    <w:rsid w:val="00090E83"/>
    <w:rsid w:val="00091C36"/>
    <w:rsid w:val="000936AF"/>
    <w:rsid w:val="00095D31"/>
    <w:rsid w:val="000A1604"/>
    <w:rsid w:val="000A2325"/>
    <w:rsid w:val="000A2B14"/>
    <w:rsid w:val="000A4224"/>
    <w:rsid w:val="000B1B50"/>
    <w:rsid w:val="000B2E72"/>
    <w:rsid w:val="000B7A64"/>
    <w:rsid w:val="000C7374"/>
    <w:rsid w:val="000D0171"/>
    <w:rsid w:val="000D1E16"/>
    <w:rsid w:val="000D2670"/>
    <w:rsid w:val="000D2D9D"/>
    <w:rsid w:val="000D3853"/>
    <w:rsid w:val="000D3BFB"/>
    <w:rsid w:val="000D3ECB"/>
    <w:rsid w:val="000D4007"/>
    <w:rsid w:val="000E1A71"/>
    <w:rsid w:val="000E5AF9"/>
    <w:rsid w:val="000E6273"/>
    <w:rsid w:val="000E6554"/>
    <w:rsid w:val="000E741E"/>
    <w:rsid w:val="000F3009"/>
    <w:rsid w:val="000F6AB4"/>
    <w:rsid w:val="000F7481"/>
    <w:rsid w:val="000F7DAF"/>
    <w:rsid w:val="00104157"/>
    <w:rsid w:val="001117B2"/>
    <w:rsid w:val="00112178"/>
    <w:rsid w:val="00112902"/>
    <w:rsid w:val="001220B5"/>
    <w:rsid w:val="001244F2"/>
    <w:rsid w:val="00124AD3"/>
    <w:rsid w:val="00130409"/>
    <w:rsid w:val="001440B0"/>
    <w:rsid w:val="00145838"/>
    <w:rsid w:val="00152087"/>
    <w:rsid w:val="001520A6"/>
    <w:rsid w:val="00153281"/>
    <w:rsid w:val="00155643"/>
    <w:rsid w:val="0016548E"/>
    <w:rsid w:val="001705DD"/>
    <w:rsid w:val="00172EFA"/>
    <w:rsid w:val="0017615F"/>
    <w:rsid w:val="00176633"/>
    <w:rsid w:val="00182C9A"/>
    <w:rsid w:val="00182EA8"/>
    <w:rsid w:val="00183367"/>
    <w:rsid w:val="001842DE"/>
    <w:rsid w:val="001872ED"/>
    <w:rsid w:val="00191FAB"/>
    <w:rsid w:val="001A3BAA"/>
    <w:rsid w:val="001A7842"/>
    <w:rsid w:val="001B1820"/>
    <w:rsid w:val="001B1E93"/>
    <w:rsid w:val="001B5786"/>
    <w:rsid w:val="001B6B9B"/>
    <w:rsid w:val="001C686F"/>
    <w:rsid w:val="001D3AAC"/>
    <w:rsid w:val="001D674A"/>
    <w:rsid w:val="001E0119"/>
    <w:rsid w:val="001E0486"/>
    <w:rsid w:val="001E0BB2"/>
    <w:rsid w:val="001E50C4"/>
    <w:rsid w:val="001E555F"/>
    <w:rsid w:val="001F2BDA"/>
    <w:rsid w:val="001F37CE"/>
    <w:rsid w:val="001F73B1"/>
    <w:rsid w:val="00200891"/>
    <w:rsid w:val="00200FA2"/>
    <w:rsid w:val="00204BCD"/>
    <w:rsid w:val="00205277"/>
    <w:rsid w:val="00213913"/>
    <w:rsid w:val="00216420"/>
    <w:rsid w:val="002165A4"/>
    <w:rsid w:val="00220855"/>
    <w:rsid w:val="0022264F"/>
    <w:rsid w:val="00223261"/>
    <w:rsid w:val="002242C7"/>
    <w:rsid w:val="0022444F"/>
    <w:rsid w:val="00231062"/>
    <w:rsid w:val="002327B6"/>
    <w:rsid w:val="00232B2B"/>
    <w:rsid w:val="00232EAB"/>
    <w:rsid w:val="0024473B"/>
    <w:rsid w:val="00246469"/>
    <w:rsid w:val="00246651"/>
    <w:rsid w:val="00247BDD"/>
    <w:rsid w:val="00255A9C"/>
    <w:rsid w:val="00256152"/>
    <w:rsid w:val="00261AEB"/>
    <w:rsid w:val="00271A1A"/>
    <w:rsid w:val="00272C4C"/>
    <w:rsid w:val="00277444"/>
    <w:rsid w:val="0027768F"/>
    <w:rsid w:val="00281B46"/>
    <w:rsid w:val="00282DAF"/>
    <w:rsid w:val="00285F84"/>
    <w:rsid w:val="00290B84"/>
    <w:rsid w:val="002922BC"/>
    <w:rsid w:val="00292EDD"/>
    <w:rsid w:val="002A3C55"/>
    <w:rsid w:val="002A6676"/>
    <w:rsid w:val="002A7FF5"/>
    <w:rsid w:val="002B2BA9"/>
    <w:rsid w:val="002B3275"/>
    <w:rsid w:val="002B3B08"/>
    <w:rsid w:val="002B6203"/>
    <w:rsid w:val="002B7D68"/>
    <w:rsid w:val="002C0BA3"/>
    <w:rsid w:val="002C29CC"/>
    <w:rsid w:val="002D0701"/>
    <w:rsid w:val="002D0DCC"/>
    <w:rsid w:val="002D3903"/>
    <w:rsid w:val="002E09F1"/>
    <w:rsid w:val="002E0A3A"/>
    <w:rsid w:val="002E327B"/>
    <w:rsid w:val="002F0802"/>
    <w:rsid w:val="002F5741"/>
    <w:rsid w:val="003006FD"/>
    <w:rsid w:val="00300FCA"/>
    <w:rsid w:val="003013D7"/>
    <w:rsid w:val="00301E45"/>
    <w:rsid w:val="00303EF7"/>
    <w:rsid w:val="003112ED"/>
    <w:rsid w:val="00311AC1"/>
    <w:rsid w:val="00312798"/>
    <w:rsid w:val="003136E5"/>
    <w:rsid w:val="00315E9C"/>
    <w:rsid w:val="003210B1"/>
    <w:rsid w:val="003230AE"/>
    <w:rsid w:val="00323798"/>
    <w:rsid w:val="00323D1D"/>
    <w:rsid w:val="003244A7"/>
    <w:rsid w:val="003247AA"/>
    <w:rsid w:val="00325DC7"/>
    <w:rsid w:val="00326D81"/>
    <w:rsid w:val="00333296"/>
    <w:rsid w:val="00343CBA"/>
    <w:rsid w:val="00347062"/>
    <w:rsid w:val="0034746C"/>
    <w:rsid w:val="00362E47"/>
    <w:rsid w:val="00372EC8"/>
    <w:rsid w:val="0037365B"/>
    <w:rsid w:val="00375AB7"/>
    <w:rsid w:val="00376487"/>
    <w:rsid w:val="0037728E"/>
    <w:rsid w:val="0038013C"/>
    <w:rsid w:val="0038688F"/>
    <w:rsid w:val="00386CC6"/>
    <w:rsid w:val="003928DC"/>
    <w:rsid w:val="00392DE0"/>
    <w:rsid w:val="003A03C6"/>
    <w:rsid w:val="003A3152"/>
    <w:rsid w:val="003A3B61"/>
    <w:rsid w:val="003A3C99"/>
    <w:rsid w:val="003A6F89"/>
    <w:rsid w:val="003B08B2"/>
    <w:rsid w:val="003B0B20"/>
    <w:rsid w:val="003B27F8"/>
    <w:rsid w:val="003B3A8A"/>
    <w:rsid w:val="003B43A9"/>
    <w:rsid w:val="003C3300"/>
    <w:rsid w:val="003D1BF1"/>
    <w:rsid w:val="003D376F"/>
    <w:rsid w:val="003D4A23"/>
    <w:rsid w:val="003D66C8"/>
    <w:rsid w:val="003D699A"/>
    <w:rsid w:val="003E15DF"/>
    <w:rsid w:val="003E267E"/>
    <w:rsid w:val="003E40B7"/>
    <w:rsid w:val="003E42FE"/>
    <w:rsid w:val="003E558D"/>
    <w:rsid w:val="003E7063"/>
    <w:rsid w:val="003E7894"/>
    <w:rsid w:val="003F0EFC"/>
    <w:rsid w:val="003F111E"/>
    <w:rsid w:val="004028E4"/>
    <w:rsid w:val="00411AA6"/>
    <w:rsid w:val="0041666B"/>
    <w:rsid w:val="00417EEF"/>
    <w:rsid w:val="004249FE"/>
    <w:rsid w:val="0043459F"/>
    <w:rsid w:val="00444B78"/>
    <w:rsid w:val="00447524"/>
    <w:rsid w:val="00451E33"/>
    <w:rsid w:val="0045415E"/>
    <w:rsid w:val="00454999"/>
    <w:rsid w:val="0045507C"/>
    <w:rsid w:val="00455410"/>
    <w:rsid w:val="0046056A"/>
    <w:rsid w:val="00461F00"/>
    <w:rsid w:val="00463179"/>
    <w:rsid w:val="00464529"/>
    <w:rsid w:val="00473626"/>
    <w:rsid w:val="00474B38"/>
    <w:rsid w:val="00474F47"/>
    <w:rsid w:val="00481DF6"/>
    <w:rsid w:val="00483284"/>
    <w:rsid w:val="00486729"/>
    <w:rsid w:val="004879C2"/>
    <w:rsid w:val="00491874"/>
    <w:rsid w:val="004A056E"/>
    <w:rsid w:val="004A1777"/>
    <w:rsid w:val="004A7026"/>
    <w:rsid w:val="004B0B19"/>
    <w:rsid w:val="004B4536"/>
    <w:rsid w:val="004B4EF4"/>
    <w:rsid w:val="004C020D"/>
    <w:rsid w:val="004C068C"/>
    <w:rsid w:val="004C74A2"/>
    <w:rsid w:val="004C76F5"/>
    <w:rsid w:val="004D4B76"/>
    <w:rsid w:val="004E195F"/>
    <w:rsid w:val="004E25E0"/>
    <w:rsid w:val="004E30FB"/>
    <w:rsid w:val="004E3732"/>
    <w:rsid w:val="004E70CB"/>
    <w:rsid w:val="004F0190"/>
    <w:rsid w:val="004F02BF"/>
    <w:rsid w:val="004F3292"/>
    <w:rsid w:val="00501A71"/>
    <w:rsid w:val="005037E4"/>
    <w:rsid w:val="00505653"/>
    <w:rsid w:val="00505E6F"/>
    <w:rsid w:val="005106C9"/>
    <w:rsid w:val="00512BAC"/>
    <w:rsid w:val="00517B04"/>
    <w:rsid w:val="0052319C"/>
    <w:rsid w:val="00524F0F"/>
    <w:rsid w:val="00526768"/>
    <w:rsid w:val="00530680"/>
    <w:rsid w:val="00530AB6"/>
    <w:rsid w:val="00530BFE"/>
    <w:rsid w:val="00533800"/>
    <w:rsid w:val="0054667E"/>
    <w:rsid w:val="00553526"/>
    <w:rsid w:val="005560D7"/>
    <w:rsid w:val="005604A8"/>
    <w:rsid w:val="005635CE"/>
    <w:rsid w:val="00564A28"/>
    <w:rsid w:val="00565C08"/>
    <w:rsid w:val="00570C60"/>
    <w:rsid w:val="00571FB1"/>
    <w:rsid w:val="00583503"/>
    <w:rsid w:val="0058550C"/>
    <w:rsid w:val="00586A79"/>
    <w:rsid w:val="00587E6C"/>
    <w:rsid w:val="00590519"/>
    <w:rsid w:val="00590A9E"/>
    <w:rsid w:val="00592DA7"/>
    <w:rsid w:val="005979FE"/>
    <w:rsid w:val="005A2777"/>
    <w:rsid w:val="005A3200"/>
    <w:rsid w:val="005A3CB8"/>
    <w:rsid w:val="005A4DFF"/>
    <w:rsid w:val="005A550F"/>
    <w:rsid w:val="005A7CDB"/>
    <w:rsid w:val="005B2638"/>
    <w:rsid w:val="005B3F2E"/>
    <w:rsid w:val="005B7EC3"/>
    <w:rsid w:val="005C6CA7"/>
    <w:rsid w:val="005D2262"/>
    <w:rsid w:val="005E16CC"/>
    <w:rsid w:val="005E370C"/>
    <w:rsid w:val="005E3900"/>
    <w:rsid w:val="005E3E00"/>
    <w:rsid w:val="005E3E73"/>
    <w:rsid w:val="005E52AD"/>
    <w:rsid w:val="005F0AC8"/>
    <w:rsid w:val="005F42DF"/>
    <w:rsid w:val="005F7CC1"/>
    <w:rsid w:val="00600AB7"/>
    <w:rsid w:val="006015E9"/>
    <w:rsid w:val="00603B13"/>
    <w:rsid w:val="00607F50"/>
    <w:rsid w:val="00616754"/>
    <w:rsid w:val="006177F9"/>
    <w:rsid w:val="0062096D"/>
    <w:rsid w:val="00621583"/>
    <w:rsid w:val="00622C87"/>
    <w:rsid w:val="00624D43"/>
    <w:rsid w:val="00631CB2"/>
    <w:rsid w:val="00633837"/>
    <w:rsid w:val="0063468B"/>
    <w:rsid w:val="00635E16"/>
    <w:rsid w:val="00636370"/>
    <w:rsid w:val="00644787"/>
    <w:rsid w:val="00645554"/>
    <w:rsid w:val="0065409D"/>
    <w:rsid w:val="0066211F"/>
    <w:rsid w:val="00664214"/>
    <w:rsid w:val="00670EB8"/>
    <w:rsid w:val="006725C7"/>
    <w:rsid w:val="0067467C"/>
    <w:rsid w:val="00676171"/>
    <w:rsid w:val="00676CA1"/>
    <w:rsid w:val="006839B5"/>
    <w:rsid w:val="00686D87"/>
    <w:rsid w:val="00687E5A"/>
    <w:rsid w:val="00694455"/>
    <w:rsid w:val="0069526F"/>
    <w:rsid w:val="006A0DDB"/>
    <w:rsid w:val="006A3CA8"/>
    <w:rsid w:val="006A592D"/>
    <w:rsid w:val="006A71DC"/>
    <w:rsid w:val="006B4EE8"/>
    <w:rsid w:val="006B5FD5"/>
    <w:rsid w:val="006B7CBC"/>
    <w:rsid w:val="006B7F27"/>
    <w:rsid w:val="006D3DEC"/>
    <w:rsid w:val="006E4F0A"/>
    <w:rsid w:val="006E563F"/>
    <w:rsid w:val="006E68A0"/>
    <w:rsid w:val="006F10CD"/>
    <w:rsid w:val="006F1F68"/>
    <w:rsid w:val="006F69A2"/>
    <w:rsid w:val="00702A84"/>
    <w:rsid w:val="00705153"/>
    <w:rsid w:val="00706D17"/>
    <w:rsid w:val="0071215A"/>
    <w:rsid w:val="00714F12"/>
    <w:rsid w:val="00715B90"/>
    <w:rsid w:val="00721499"/>
    <w:rsid w:val="007245C5"/>
    <w:rsid w:val="007247C5"/>
    <w:rsid w:val="007319A3"/>
    <w:rsid w:val="007329C6"/>
    <w:rsid w:val="00737288"/>
    <w:rsid w:val="00743154"/>
    <w:rsid w:val="00744006"/>
    <w:rsid w:val="00744A8E"/>
    <w:rsid w:val="007457AC"/>
    <w:rsid w:val="0074664B"/>
    <w:rsid w:val="0074700D"/>
    <w:rsid w:val="007479C1"/>
    <w:rsid w:val="00753967"/>
    <w:rsid w:val="0075563D"/>
    <w:rsid w:val="00763992"/>
    <w:rsid w:val="00775937"/>
    <w:rsid w:val="00783F17"/>
    <w:rsid w:val="00785D77"/>
    <w:rsid w:val="00786EFE"/>
    <w:rsid w:val="007906DD"/>
    <w:rsid w:val="00790CCF"/>
    <w:rsid w:val="007915AC"/>
    <w:rsid w:val="00791C37"/>
    <w:rsid w:val="00794CB7"/>
    <w:rsid w:val="007A27DA"/>
    <w:rsid w:val="007A3157"/>
    <w:rsid w:val="007A67A4"/>
    <w:rsid w:val="007B022B"/>
    <w:rsid w:val="007B579C"/>
    <w:rsid w:val="007B599D"/>
    <w:rsid w:val="007C049B"/>
    <w:rsid w:val="007C0BBE"/>
    <w:rsid w:val="007C2DE6"/>
    <w:rsid w:val="007D1A4B"/>
    <w:rsid w:val="007D268A"/>
    <w:rsid w:val="007D6401"/>
    <w:rsid w:val="007E1DD9"/>
    <w:rsid w:val="007E2C96"/>
    <w:rsid w:val="007E35E7"/>
    <w:rsid w:val="007E37BA"/>
    <w:rsid w:val="007E462F"/>
    <w:rsid w:val="007E4ADF"/>
    <w:rsid w:val="007E5B07"/>
    <w:rsid w:val="007E624D"/>
    <w:rsid w:val="007E74CE"/>
    <w:rsid w:val="007F26D9"/>
    <w:rsid w:val="007F2E79"/>
    <w:rsid w:val="008011EA"/>
    <w:rsid w:val="008018D5"/>
    <w:rsid w:val="00801BA4"/>
    <w:rsid w:val="008043C3"/>
    <w:rsid w:val="00810450"/>
    <w:rsid w:val="00810485"/>
    <w:rsid w:val="008104FC"/>
    <w:rsid w:val="008111D1"/>
    <w:rsid w:val="00813FF6"/>
    <w:rsid w:val="00822CD1"/>
    <w:rsid w:val="00823300"/>
    <w:rsid w:val="008275AD"/>
    <w:rsid w:val="0083002A"/>
    <w:rsid w:val="0083118D"/>
    <w:rsid w:val="008314BD"/>
    <w:rsid w:val="008361E0"/>
    <w:rsid w:val="00844E51"/>
    <w:rsid w:val="0085049A"/>
    <w:rsid w:val="008512FD"/>
    <w:rsid w:val="00851CC5"/>
    <w:rsid w:val="008527C9"/>
    <w:rsid w:val="00854C75"/>
    <w:rsid w:val="00856E64"/>
    <w:rsid w:val="00861158"/>
    <w:rsid w:val="0086173B"/>
    <w:rsid w:val="008724DE"/>
    <w:rsid w:val="008753AE"/>
    <w:rsid w:val="008759E4"/>
    <w:rsid w:val="00877ABA"/>
    <w:rsid w:val="00892F20"/>
    <w:rsid w:val="0089452D"/>
    <w:rsid w:val="008961FC"/>
    <w:rsid w:val="008969B8"/>
    <w:rsid w:val="008A0F86"/>
    <w:rsid w:val="008A38B5"/>
    <w:rsid w:val="008B03AF"/>
    <w:rsid w:val="008B0425"/>
    <w:rsid w:val="008B259C"/>
    <w:rsid w:val="008B2BBD"/>
    <w:rsid w:val="008B4517"/>
    <w:rsid w:val="008B5E79"/>
    <w:rsid w:val="008B68A1"/>
    <w:rsid w:val="008B6BF0"/>
    <w:rsid w:val="008C1031"/>
    <w:rsid w:val="008C3F66"/>
    <w:rsid w:val="008C7945"/>
    <w:rsid w:val="008D10F4"/>
    <w:rsid w:val="008D1454"/>
    <w:rsid w:val="008D7311"/>
    <w:rsid w:val="008E1AB6"/>
    <w:rsid w:val="008E1B72"/>
    <w:rsid w:val="008E68C4"/>
    <w:rsid w:val="008F123C"/>
    <w:rsid w:val="008F130E"/>
    <w:rsid w:val="008F1C0F"/>
    <w:rsid w:val="00901586"/>
    <w:rsid w:val="00903880"/>
    <w:rsid w:val="00904FBB"/>
    <w:rsid w:val="0090568B"/>
    <w:rsid w:val="0091616C"/>
    <w:rsid w:val="009203FF"/>
    <w:rsid w:val="009214DC"/>
    <w:rsid w:val="009309C5"/>
    <w:rsid w:val="00930E58"/>
    <w:rsid w:val="009326C0"/>
    <w:rsid w:val="00937B65"/>
    <w:rsid w:val="00940079"/>
    <w:rsid w:val="00941DD5"/>
    <w:rsid w:val="00946F48"/>
    <w:rsid w:val="00953743"/>
    <w:rsid w:val="009573A6"/>
    <w:rsid w:val="009619D8"/>
    <w:rsid w:val="00961CE0"/>
    <w:rsid w:val="0096232F"/>
    <w:rsid w:val="009636EA"/>
    <w:rsid w:val="00964E3C"/>
    <w:rsid w:val="00970374"/>
    <w:rsid w:val="00974486"/>
    <w:rsid w:val="009770E3"/>
    <w:rsid w:val="009803A4"/>
    <w:rsid w:val="00981E3E"/>
    <w:rsid w:val="00985A39"/>
    <w:rsid w:val="009868BB"/>
    <w:rsid w:val="00990EE0"/>
    <w:rsid w:val="009B080C"/>
    <w:rsid w:val="009B1731"/>
    <w:rsid w:val="009B454E"/>
    <w:rsid w:val="009B50AF"/>
    <w:rsid w:val="009B5155"/>
    <w:rsid w:val="009C078E"/>
    <w:rsid w:val="009C5A49"/>
    <w:rsid w:val="009C5DE7"/>
    <w:rsid w:val="009C68FF"/>
    <w:rsid w:val="009D1F9C"/>
    <w:rsid w:val="009D301F"/>
    <w:rsid w:val="009D455A"/>
    <w:rsid w:val="009D699C"/>
    <w:rsid w:val="009E0460"/>
    <w:rsid w:val="009E064C"/>
    <w:rsid w:val="009E14BE"/>
    <w:rsid w:val="009E328C"/>
    <w:rsid w:val="009E3D11"/>
    <w:rsid w:val="009E510E"/>
    <w:rsid w:val="009F1284"/>
    <w:rsid w:val="009F63E6"/>
    <w:rsid w:val="00A008A8"/>
    <w:rsid w:val="00A05801"/>
    <w:rsid w:val="00A05D23"/>
    <w:rsid w:val="00A07161"/>
    <w:rsid w:val="00A14335"/>
    <w:rsid w:val="00A14C28"/>
    <w:rsid w:val="00A15619"/>
    <w:rsid w:val="00A16BC5"/>
    <w:rsid w:val="00A20D50"/>
    <w:rsid w:val="00A22061"/>
    <w:rsid w:val="00A224A4"/>
    <w:rsid w:val="00A23D93"/>
    <w:rsid w:val="00A2429A"/>
    <w:rsid w:val="00A323A3"/>
    <w:rsid w:val="00A347FC"/>
    <w:rsid w:val="00A34FFC"/>
    <w:rsid w:val="00A37DFD"/>
    <w:rsid w:val="00A41D7A"/>
    <w:rsid w:val="00A50642"/>
    <w:rsid w:val="00A54FE8"/>
    <w:rsid w:val="00A555A0"/>
    <w:rsid w:val="00A6065A"/>
    <w:rsid w:val="00A60CD8"/>
    <w:rsid w:val="00A64419"/>
    <w:rsid w:val="00A67227"/>
    <w:rsid w:val="00A740CE"/>
    <w:rsid w:val="00A800F8"/>
    <w:rsid w:val="00A83447"/>
    <w:rsid w:val="00A838F6"/>
    <w:rsid w:val="00A86198"/>
    <w:rsid w:val="00A92A34"/>
    <w:rsid w:val="00AA403F"/>
    <w:rsid w:val="00AA4041"/>
    <w:rsid w:val="00AB5AC9"/>
    <w:rsid w:val="00AC079E"/>
    <w:rsid w:val="00AC39B0"/>
    <w:rsid w:val="00AC3D69"/>
    <w:rsid w:val="00AC6614"/>
    <w:rsid w:val="00AD32C5"/>
    <w:rsid w:val="00AD4598"/>
    <w:rsid w:val="00AD5B29"/>
    <w:rsid w:val="00AD66FF"/>
    <w:rsid w:val="00AE06C1"/>
    <w:rsid w:val="00AE11FB"/>
    <w:rsid w:val="00AE18D6"/>
    <w:rsid w:val="00AE429E"/>
    <w:rsid w:val="00AE6BBA"/>
    <w:rsid w:val="00AF331F"/>
    <w:rsid w:val="00AF6D26"/>
    <w:rsid w:val="00B02E3E"/>
    <w:rsid w:val="00B048E6"/>
    <w:rsid w:val="00B066F8"/>
    <w:rsid w:val="00B06941"/>
    <w:rsid w:val="00B1034D"/>
    <w:rsid w:val="00B10792"/>
    <w:rsid w:val="00B16B2C"/>
    <w:rsid w:val="00B221D8"/>
    <w:rsid w:val="00B22FE9"/>
    <w:rsid w:val="00B2474A"/>
    <w:rsid w:val="00B24C31"/>
    <w:rsid w:val="00B26F0C"/>
    <w:rsid w:val="00B272D9"/>
    <w:rsid w:val="00B309D0"/>
    <w:rsid w:val="00B31E6D"/>
    <w:rsid w:val="00B3387A"/>
    <w:rsid w:val="00B34B39"/>
    <w:rsid w:val="00B3532E"/>
    <w:rsid w:val="00B36064"/>
    <w:rsid w:val="00B36DDE"/>
    <w:rsid w:val="00B37414"/>
    <w:rsid w:val="00B4128D"/>
    <w:rsid w:val="00B449F3"/>
    <w:rsid w:val="00B45BF3"/>
    <w:rsid w:val="00B46DFC"/>
    <w:rsid w:val="00B5041E"/>
    <w:rsid w:val="00B50B35"/>
    <w:rsid w:val="00B51338"/>
    <w:rsid w:val="00B5211C"/>
    <w:rsid w:val="00B601A6"/>
    <w:rsid w:val="00B607AB"/>
    <w:rsid w:val="00B620B1"/>
    <w:rsid w:val="00B6362A"/>
    <w:rsid w:val="00B6414C"/>
    <w:rsid w:val="00B644A1"/>
    <w:rsid w:val="00B7342A"/>
    <w:rsid w:val="00B8275A"/>
    <w:rsid w:val="00B91564"/>
    <w:rsid w:val="00B91922"/>
    <w:rsid w:val="00B929D4"/>
    <w:rsid w:val="00B940B6"/>
    <w:rsid w:val="00BA3595"/>
    <w:rsid w:val="00BA4315"/>
    <w:rsid w:val="00BA52BA"/>
    <w:rsid w:val="00BA6353"/>
    <w:rsid w:val="00BB4D72"/>
    <w:rsid w:val="00BB7AA8"/>
    <w:rsid w:val="00BC3792"/>
    <w:rsid w:val="00BC4C82"/>
    <w:rsid w:val="00BD516E"/>
    <w:rsid w:val="00BD5601"/>
    <w:rsid w:val="00BE24B6"/>
    <w:rsid w:val="00BE271B"/>
    <w:rsid w:val="00BE3E74"/>
    <w:rsid w:val="00BE4D19"/>
    <w:rsid w:val="00BE4E1E"/>
    <w:rsid w:val="00BF40AA"/>
    <w:rsid w:val="00BF44D4"/>
    <w:rsid w:val="00BF51DC"/>
    <w:rsid w:val="00C0350A"/>
    <w:rsid w:val="00C054C2"/>
    <w:rsid w:val="00C056BF"/>
    <w:rsid w:val="00C12856"/>
    <w:rsid w:val="00C129B4"/>
    <w:rsid w:val="00C13D62"/>
    <w:rsid w:val="00C16D4F"/>
    <w:rsid w:val="00C222C9"/>
    <w:rsid w:val="00C22601"/>
    <w:rsid w:val="00C24F7A"/>
    <w:rsid w:val="00C27363"/>
    <w:rsid w:val="00C3283A"/>
    <w:rsid w:val="00C42886"/>
    <w:rsid w:val="00C46C96"/>
    <w:rsid w:val="00C6255C"/>
    <w:rsid w:val="00C62858"/>
    <w:rsid w:val="00C63611"/>
    <w:rsid w:val="00C6382E"/>
    <w:rsid w:val="00C65090"/>
    <w:rsid w:val="00C713DB"/>
    <w:rsid w:val="00C71951"/>
    <w:rsid w:val="00C73184"/>
    <w:rsid w:val="00C76881"/>
    <w:rsid w:val="00C81112"/>
    <w:rsid w:val="00C81723"/>
    <w:rsid w:val="00C81F15"/>
    <w:rsid w:val="00C908A2"/>
    <w:rsid w:val="00C9367F"/>
    <w:rsid w:val="00C9421C"/>
    <w:rsid w:val="00C95928"/>
    <w:rsid w:val="00C978CC"/>
    <w:rsid w:val="00CA0E9F"/>
    <w:rsid w:val="00CA2C10"/>
    <w:rsid w:val="00CB236D"/>
    <w:rsid w:val="00CB437A"/>
    <w:rsid w:val="00CB6C11"/>
    <w:rsid w:val="00CC09A2"/>
    <w:rsid w:val="00CC0A90"/>
    <w:rsid w:val="00CC2FBC"/>
    <w:rsid w:val="00CC56E6"/>
    <w:rsid w:val="00CC6C0D"/>
    <w:rsid w:val="00CD015D"/>
    <w:rsid w:val="00CD114B"/>
    <w:rsid w:val="00CD2E30"/>
    <w:rsid w:val="00CD4CB0"/>
    <w:rsid w:val="00CD5387"/>
    <w:rsid w:val="00CD5EED"/>
    <w:rsid w:val="00CD6A50"/>
    <w:rsid w:val="00CD6E39"/>
    <w:rsid w:val="00CF23DC"/>
    <w:rsid w:val="00CF2E30"/>
    <w:rsid w:val="00CF3EEB"/>
    <w:rsid w:val="00CF5A89"/>
    <w:rsid w:val="00CF5F8C"/>
    <w:rsid w:val="00CF6A1E"/>
    <w:rsid w:val="00CF7F54"/>
    <w:rsid w:val="00D003FB"/>
    <w:rsid w:val="00D01C40"/>
    <w:rsid w:val="00D03477"/>
    <w:rsid w:val="00D034CD"/>
    <w:rsid w:val="00D103F9"/>
    <w:rsid w:val="00D1420A"/>
    <w:rsid w:val="00D1492F"/>
    <w:rsid w:val="00D15326"/>
    <w:rsid w:val="00D1594F"/>
    <w:rsid w:val="00D16841"/>
    <w:rsid w:val="00D17F3C"/>
    <w:rsid w:val="00D20077"/>
    <w:rsid w:val="00D2281D"/>
    <w:rsid w:val="00D304F1"/>
    <w:rsid w:val="00D31388"/>
    <w:rsid w:val="00D34A80"/>
    <w:rsid w:val="00D37614"/>
    <w:rsid w:val="00D378BE"/>
    <w:rsid w:val="00D37D7B"/>
    <w:rsid w:val="00D414F5"/>
    <w:rsid w:val="00D41548"/>
    <w:rsid w:val="00D432C9"/>
    <w:rsid w:val="00D44B6D"/>
    <w:rsid w:val="00D46956"/>
    <w:rsid w:val="00D508BD"/>
    <w:rsid w:val="00D50BDA"/>
    <w:rsid w:val="00D537BE"/>
    <w:rsid w:val="00D54920"/>
    <w:rsid w:val="00D57614"/>
    <w:rsid w:val="00D615D8"/>
    <w:rsid w:val="00D62C26"/>
    <w:rsid w:val="00D724DD"/>
    <w:rsid w:val="00D751F2"/>
    <w:rsid w:val="00D75289"/>
    <w:rsid w:val="00D814F7"/>
    <w:rsid w:val="00D822CF"/>
    <w:rsid w:val="00D85336"/>
    <w:rsid w:val="00D85AF7"/>
    <w:rsid w:val="00D87789"/>
    <w:rsid w:val="00D91EB4"/>
    <w:rsid w:val="00D95AE3"/>
    <w:rsid w:val="00DA60CC"/>
    <w:rsid w:val="00DA7824"/>
    <w:rsid w:val="00DC1EE7"/>
    <w:rsid w:val="00DC47AF"/>
    <w:rsid w:val="00DC4971"/>
    <w:rsid w:val="00DC6FEB"/>
    <w:rsid w:val="00DD3B89"/>
    <w:rsid w:val="00DE1FD3"/>
    <w:rsid w:val="00DE317D"/>
    <w:rsid w:val="00DE3242"/>
    <w:rsid w:val="00DE4B91"/>
    <w:rsid w:val="00DF3374"/>
    <w:rsid w:val="00E02A91"/>
    <w:rsid w:val="00E0453F"/>
    <w:rsid w:val="00E077A5"/>
    <w:rsid w:val="00E137F5"/>
    <w:rsid w:val="00E2076D"/>
    <w:rsid w:val="00E219A3"/>
    <w:rsid w:val="00E21DBA"/>
    <w:rsid w:val="00E2412A"/>
    <w:rsid w:val="00E27FB8"/>
    <w:rsid w:val="00E32158"/>
    <w:rsid w:val="00E344E9"/>
    <w:rsid w:val="00E375CD"/>
    <w:rsid w:val="00E40634"/>
    <w:rsid w:val="00E417AD"/>
    <w:rsid w:val="00E45A5B"/>
    <w:rsid w:val="00E50B17"/>
    <w:rsid w:val="00E511F3"/>
    <w:rsid w:val="00E51CE0"/>
    <w:rsid w:val="00E57A82"/>
    <w:rsid w:val="00E60A7A"/>
    <w:rsid w:val="00E61D73"/>
    <w:rsid w:val="00E636C3"/>
    <w:rsid w:val="00E65FFF"/>
    <w:rsid w:val="00E70429"/>
    <w:rsid w:val="00E71C7D"/>
    <w:rsid w:val="00E75C85"/>
    <w:rsid w:val="00E86099"/>
    <w:rsid w:val="00E865FB"/>
    <w:rsid w:val="00E8677A"/>
    <w:rsid w:val="00E87F14"/>
    <w:rsid w:val="00E923C6"/>
    <w:rsid w:val="00EA101F"/>
    <w:rsid w:val="00EA193D"/>
    <w:rsid w:val="00EA2F70"/>
    <w:rsid w:val="00EA6A8C"/>
    <w:rsid w:val="00EA6D00"/>
    <w:rsid w:val="00EB573E"/>
    <w:rsid w:val="00EC0717"/>
    <w:rsid w:val="00EC34FC"/>
    <w:rsid w:val="00EC3AF6"/>
    <w:rsid w:val="00EC4F0B"/>
    <w:rsid w:val="00ED105C"/>
    <w:rsid w:val="00ED1D1D"/>
    <w:rsid w:val="00ED24DB"/>
    <w:rsid w:val="00ED42E3"/>
    <w:rsid w:val="00ED60D5"/>
    <w:rsid w:val="00EE0036"/>
    <w:rsid w:val="00EE0438"/>
    <w:rsid w:val="00EE0CA5"/>
    <w:rsid w:val="00EE1743"/>
    <w:rsid w:val="00EE4515"/>
    <w:rsid w:val="00EE6764"/>
    <w:rsid w:val="00EE79B5"/>
    <w:rsid w:val="00EE7E1F"/>
    <w:rsid w:val="00EF1FB3"/>
    <w:rsid w:val="00EF4DA7"/>
    <w:rsid w:val="00EF5C85"/>
    <w:rsid w:val="00EF6661"/>
    <w:rsid w:val="00F06AC0"/>
    <w:rsid w:val="00F14C9A"/>
    <w:rsid w:val="00F24E9D"/>
    <w:rsid w:val="00F2642D"/>
    <w:rsid w:val="00F2704E"/>
    <w:rsid w:val="00F27D41"/>
    <w:rsid w:val="00F3112A"/>
    <w:rsid w:val="00F32DF8"/>
    <w:rsid w:val="00F34359"/>
    <w:rsid w:val="00F429E4"/>
    <w:rsid w:val="00F430E5"/>
    <w:rsid w:val="00F433F8"/>
    <w:rsid w:val="00F437DC"/>
    <w:rsid w:val="00F453CD"/>
    <w:rsid w:val="00F45C98"/>
    <w:rsid w:val="00F46390"/>
    <w:rsid w:val="00F46E25"/>
    <w:rsid w:val="00F509A1"/>
    <w:rsid w:val="00F50F99"/>
    <w:rsid w:val="00F51705"/>
    <w:rsid w:val="00F56F4E"/>
    <w:rsid w:val="00F6271C"/>
    <w:rsid w:val="00F62A84"/>
    <w:rsid w:val="00F63E49"/>
    <w:rsid w:val="00F64652"/>
    <w:rsid w:val="00F6486B"/>
    <w:rsid w:val="00F64B40"/>
    <w:rsid w:val="00F65E2B"/>
    <w:rsid w:val="00F67726"/>
    <w:rsid w:val="00F71CBC"/>
    <w:rsid w:val="00F71F66"/>
    <w:rsid w:val="00F74547"/>
    <w:rsid w:val="00F7706A"/>
    <w:rsid w:val="00F80100"/>
    <w:rsid w:val="00F863D7"/>
    <w:rsid w:val="00F867A5"/>
    <w:rsid w:val="00F8758C"/>
    <w:rsid w:val="00F876B7"/>
    <w:rsid w:val="00F90452"/>
    <w:rsid w:val="00F919A4"/>
    <w:rsid w:val="00F95305"/>
    <w:rsid w:val="00FA3F7D"/>
    <w:rsid w:val="00FB2A97"/>
    <w:rsid w:val="00FB443A"/>
    <w:rsid w:val="00FB7899"/>
    <w:rsid w:val="00FB7A2E"/>
    <w:rsid w:val="00FC0426"/>
    <w:rsid w:val="00FC4A18"/>
    <w:rsid w:val="00FD6746"/>
    <w:rsid w:val="00FD738B"/>
    <w:rsid w:val="00FD7882"/>
    <w:rsid w:val="00FE2AB5"/>
    <w:rsid w:val="00FE5004"/>
    <w:rsid w:val="00FE527D"/>
    <w:rsid w:val="00FE5730"/>
    <w:rsid w:val="00FE5F88"/>
    <w:rsid w:val="00FF0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219A3"/>
    <w:rPr>
      <w:lang w:eastAsia="en-US"/>
    </w:rPr>
  </w:style>
  <w:style w:type="paragraph" w:styleId="Heading1">
    <w:name w:val="heading 1"/>
    <w:basedOn w:val="Normal"/>
    <w:next w:val="Normal"/>
    <w:link w:val="Heading1Char"/>
    <w:uiPriority w:val="99"/>
    <w:qFormat/>
    <w:rsid w:val="00636370"/>
    <w:pPr>
      <w:keepNext/>
      <w:keepLines/>
      <w:spacing w:before="48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DC6FEB"/>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491874"/>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6370"/>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DC6FEB"/>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491874"/>
    <w:rPr>
      <w:rFonts w:ascii="Cambria" w:hAnsi="Cambria" w:cs="Times New Roman"/>
      <w:b/>
      <w:bCs/>
      <w:i/>
      <w:iCs/>
      <w:color w:val="4F81BD"/>
    </w:rPr>
  </w:style>
  <w:style w:type="paragraph" w:styleId="BalloonText">
    <w:name w:val="Balloon Text"/>
    <w:basedOn w:val="Normal"/>
    <w:link w:val="BalloonTextChar"/>
    <w:uiPriority w:val="99"/>
    <w:semiHidden/>
    <w:rsid w:val="009E51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10E"/>
    <w:rPr>
      <w:rFonts w:ascii="Tahoma" w:hAnsi="Tahoma" w:cs="Tahoma"/>
      <w:sz w:val="16"/>
      <w:szCs w:val="16"/>
    </w:rPr>
  </w:style>
  <w:style w:type="paragraph" w:styleId="TOCHeading">
    <w:name w:val="TOC Heading"/>
    <w:basedOn w:val="Heading1"/>
    <w:next w:val="Normal"/>
    <w:uiPriority w:val="99"/>
    <w:qFormat/>
    <w:rsid w:val="00636370"/>
    <w:pPr>
      <w:spacing w:line="276" w:lineRule="auto"/>
      <w:outlineLvl w:val="9"/>
    </w:pPr>
    <w:rPr>
      <w:lang w:val="en-US" w:eastAsia="ja-JP"/>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99"/>
    <w:qFormat/>
    <w:rsid w:val="00702A84"/>
    <w:pPr>
      <w:ind w:left="720"/>
      <w:contextualSpacing/>
    </w:pPr>
  </w:style>
  <w:style w:type="paragraph" w:customStyle="1" w:styleId="Default">
    <w:name w:val="Default"/>
    <w:rsid w:val="000936AF"/>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3D66C8"/>
    <w:pPr>
      <w:spacing w:before="100" w:beforeAutospacing="1" w:after="100" w:afterAutospacing="1"/>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rsid w:val="005F7CC1"/>
    <w:rPr>
      <w:rFonts w:cs="Times New Roman"/>
      <w:sz w:val="16"/>
      <w:szCs w:val="16"/>
    </w:rPr>
  </w:style>
  <w:style w:type="paragraph" w:styleId="CommentText">
    <w:name w:val="annotation text"/>
    <w:basedOn w:val="Normal"/>
    <w:link w:val="CommentTextChar"/>
    <w:uiPriority w:val="99"/>
    <w:rsid w:val="005F7CC1"/>
    <w:rPr>
      <w:sz w:val="20"/>
      <w:szCs w:val="20"/>
    </w:rPr>
  </w:style>
  <w:style w:type="character" w:customStyle="1" w:styleId="CommentTextChar">
    <w:name w:val="Comment Text Char"/>
    <w:basedOn w:val="DefaultParagraphFont"/>
    <w:link w:val="CommentText"/>
    <w:uiPriority w:val="99"/>
    <w:locked/>
    <w:rsid w:val="005F7CC1"/>
    <w:rPr>
      <w:rFonts w:cs="Times New Roman"/>
      <w:sz w:val="20"/>
      <w:szCs w:val="20"/>
    </w:rPr>
  </w:style>
  <w:style w:type="paragraph" w:styleId="CommentSubject">
    <w:name w:val="annotation subject"/>
    <w:basedOn w:val="CommentText"/>
    <w:next w:val="CommentText"/>
    <w:link w:val="CommentSubjectChar"/>
    <w:uiPriority w:val="99"/>
    <w:semiHidden/>
    <w:rsid w:val="005F7CC1"/>
    <w:rPr>
      <w:b/>
      <w:bCs/>
    </w:rPr>
  </w:style>
  <w:style w:type="character" w:customStyle="1" w:styleId="CommentSubjectChar">
    <w:name w:val="Comment Subject Char"/>
    <w:basedOn w:val="CommentTextChar"/>
    <w:link w:val="CommentSubject"/>
    <w:uiPriority w:val="99"/>
    <w:semiHidden/>
    <w:locked/>
    <w:rsid w:val="005F7CC1"/>
    <w:rPr>
      <w:rFonts w:cs="Times New Roman"/>
      <w:b/>
      <w:bCs/>
      <w:sz w:val="20"/>
      <w:szCs w:val="20"/>
    </w:rPr>
  </w:style>
  <w:style w:type="character" w:styleId="Hyperlink">
    <w:name w:val="Hyperlink"/>
    <w:basedOn w:val="DefaultParagraphFont"/>
    <w:uiPriority w:val="99"/>
    <w:rsid w:val="00D91EB4"/>
    <w:rPr>
      <w:rFonts w:cs="Times New Roman"/>
      <w:color w:val="0000FF"/>
      <w:u w:val="single"/>
    </w:rPr>
  </w:style>
  <w:style w:type="character" w:styleId="Strong">
    <w:name w:val="Strong"/>
    <w:basedOn w:val="DefaultParagraphFont"/>
    <w:uiPriority w:val="99"/>
    <w:qFormat/>
    <w:rsid w:val="00FF02B0"/>
    <w:rPr>
      <w:rFonts w:cs="Times New Roman"/>
      <w:b/>
      <w:bCs/>
    </w:rPr>
  </w:style>
  <w:style w:type="paragraph" w:styleId="FootnoteText">
    <w:name w:val="footnote text"/>
    <w:basedOn w:val="Normal"/>
    <w:link w:val="FootnoteTextChar"/>
    <w:uiPriority w:val="99"/>
    <w:semiHidden/>
    <w:rsid w:val="00C65090"/>
    <w:rPr>
      <w:sz w:val="20"/>
      <w:szCs w:val="20"/>
    </w:rPr>
  </w:style>
  <w:style w:type="character" w:customStyle="1" w:styleId="FootnoteTextChar">
    <w:name w:val="Footnote Text Char"/>
    <w:basedOn w:val="DefaultParagraphFont"/>
    <w:link w:val="FootnoteText"/>
    <w:uiPriority w:val="99"/>
    <w:semiHidden/>
    <w:locked/>
    <w:rsid w:val="00C65090"/>
    <w:rPr>
      <w:rFonts w:cs="Times New Roman"/>
      <w:sz w:val="20"/>
      <w:szCs w:val="20"/>
    </w:rPr>
  </w:style>
  <w:style w:type="character" w:styleId="FootnoteReference">
    <w:name w:val="footnote reference"/>
    <w:basedOn w:val="DefaultParagraphFont"/>
    <w:uiPriority w:val="99"/>
    <w:semiHidden/>
    <w:rsid w:val="00C65090"/>
    <w:rPr>
      <w:rFonts w:cs="Times New Roman"/>
      <w:vertAlign w:val="superscript"/>
    </w:rPr>
  </w:style>
  <w:style w:type="character" w:styleId="FollowedHyperlink">
    <w:name w:val="FollowedHyperlink"/>
    <w:basedOn w:val="DefaultParagraphFont"/>
    <w:uiPriority w:val="99"/>
    <w:semiHidden/>
    <w:rsid w:val="00464529"/>
    <w:rPr>
      <w:rFonts w:cs="Times New Roman"/>
      <w:color w:val="800080"/>
      <w:u w:val="single"/>
    </w:rPr>
  </w:style>
  <w:style w:type="paragraph" w:styleId="TOC3">
    <w:name w:val="toc 3"/>
    <w:basedOn w:val="Normal"/>
    <w:next w:val="Normal"/>
    <w:autoRedefine/>
    <w:uiPriority w:val="99"/>
    <w:rsid w:val="000B1B50"/>
    <w:pPr>
      <w:spacing w:after="100"/>
      <w:ind w:left="440"/>
    </w:pPr>
  </w:style>
  <w:style w:type="paragraph" w:styleId="EndnoteText">
    <w:name w:val="endnote text"/>
    <w:basedOn w:val="Normal"/>
    <w:link w:val="EndnoteTextChar"/>
    <w:uiPriority w:val="99"/>
    <w:semiHidden/>
    <w:rsid w:val="00444B78"/>
    <w:rPr>
      <w:sz w:val="20"/>
      <w:szCs w:val="20"/>
    </w:rPr>
  </w:style>
  <w:style w:type="character" w:customStyle="1" w:styleId="EndnoteTextChar">
    <w:name w:val="Endnote Text Char"/>
    <w:basedOn w:val="DefaultParagraphFont"/>
    <w:link w:val="EndnoteText"/>
    <w:uiPriority w:val="99"/>
    <w:semiHidden/>
    <w:locked/>
    <w:rsid w:val="00444B78"/>
    <w:rPr>
      <w:rFonts w:cs="Times New Roman"/>
      <w:sz w:val="20"/>
      <w:szCs w:val="20"/>
    </w:rPr>
  </w:style>
  <w:style w:type="character" w:styleId="EndnoteReference">
    <w:name w:val="endnote reference"/>
    <w:basedOn w:val="DefaultParagraphFont"/>
    <w:uiPriority w:val="99"/>
    <w:semiHidden/>
    <w:rsid w:val="00444B78"/>
    <w:rPr>
      <w:rFonts w:cs="Times New Roman"/>
      <w:vertAlign w:val="superscript"/>
    </w:rPr>
  </w:style>
  <w:style w:type="paragraph" w:customStyle="1" w:styleId="top">
    <w:name w:val="top"/>
    <w:basedOn w:val="Normal"/>
    <w:uiPriority w:val="99"/>
    <w:rsid w:val="00CD4CB0"/>
    <w:pPr>
      <w:shd w:val="clear" w:color="auto" w:fill="FFFFFF"/>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rsid w:val="00375AB7"/>
    <w:pPr>
      <w:tabs>
        <w:tab w:val="center" w:pos="4513"/>
        <w:tab w:val="right" w:pos="9026"/>
      </w:tabs>
    </w:pPr>
  </w:style>
  <w:style w:type="character" w:customStyle="1" w:styleId="HeaderChar">
    <w:name w:val="Header Char"/>
    <w:basedOn w:val="DefaultParagraphFont"/>
    <w:link w:val="Header"/>
    <w:uiPriority w:val="99"/>
    <w:locked/>
    <w:rsid w:val="00375AB7"/>
    <w:rPr>
      <w:rFonts w:cs="Times New Roman"/>
    </w:rPr>
  </w:style>
  <w:style w:type="paragraph" w:styleId="Footer">
    <w:name w:val="footer"/>
    <w:basedOn w:val="Normal"/>
    <w:link w:val="FooterChar"/>
    <w:uiPriority w:val="99"/>
    <w:rsid w:val="00375AB7"/>
    <w:pPr>
      <w:tabs>
        <w:tab w:val="center" w:pos="4513"/>
        <w:tab w:val="right" w:pos="9026"/>
      </w:tabs>
    </w:pPr>
  </w:style>
  <w:style w:type="character" w:customStyle="1" w:styleId="FooterChar">
    <w:name w:val="Footer Char"/>
    <w:basedOn w:val="DefaultParagraphFont"/>
    <w:link w:val="Footer"/>
    <w:uiPriority w:val="99"/>
    <w:locked/>
    <w:rsid w:val="00375AB7"/>
    <w:rPr>
      <w:rFonts w:cs="Times New Roman"/>
    </w:rPr>
  </w:style>
  <w:style w:type="character" w:styleId="HTMLAcronym">
    <w:name w:val="HTML Acronym"/>
    <w:basedOn w:val="DefaultParagraphFont"/>
    <w:uiPriority w:val="99"/>
    <w:semiHidden/>
    <w:rsid w:val="00375AB7"/>
    <w:rPr>
      <w:rFonts w:cs="Times New Roman"/>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99"/>
    <w:locked/>
    <w:rsid w:val="007C0BBE"/>
    <w:rPr>
      <w:rFonts w:cs="Times New Roman"/>
    </w:rPr>
  </w:style>
  <w:style w:type="character" w:styleId="HTMLCite">
    <w:name w:val="HTML Cite"/>
    <w:basedOn w:val="DefaultParagraphFont"/>
    <w:uiPriority w:val="99"/>
    <w:semiHidden/>
    <w:unhideWhenUsed/>
    <w:rsid w:val="00E87F1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219A3"/>
    <w:rPr>
      <w:lang w:eastAsia="en-US"/>
    </w:rPr>
  </w:style>
  <w:style w:type="paragraph" w:styleId="Heading1">
    <w:name w:val="heading 1"/>
    <w:basedOn w:val="Normal"/>
    <w:next w:val="Normal"/>
    <w:link w:val="Heading1Char"/>
    <w:uiPriority w:val="99"/>
    <w:qFormat/>
    <w:rsid w:val="00636370"/>
    <w:pPr>
      <w:keepNext/>
      <w:keepLines/>
      <w:spacing w:before="48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DC6FEB"/>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491874"/>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6370"/>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DC6FEB"/>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491874"/>
    <w:rPr>
      <w:rFonts w:ascii="Cambria" w:hAnsi="Cambria" w:cs="Times New Roman"/>
      <w:b/>
      <w:bCs/>
      <w:i/>
      <w:iCs/>
      <w:color w:val="4F81BD"/>
    </w:rPr>
  </w:style>
  <w:style w:type="paragraph" w:styleId="BalloonText">
    <w:name w:val="Balloon Text"/>
    <w:basedOn w:val="Normal"/>
    <w:link w:val="BalloonTextChar"/>
    <w:uiPriority w:val="99"/>
    <w:semiHidden/>
    <w:rsid w:val="009E51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10E"/>
    <w:rPr>
      <w:rFonts w:ascii="Tahoma" w:hAnsi="Tahoma" w:cs="Tahoma"/>
      <w:sz w:val="16"/>
      <w:szCs w:val="16"/>
    </w:rPr>
  </w:style>
  <w:style w:type="paragraph" w:styleId="TOCHeading">
    <w:name w:val="TOC Heading"/>
    <w:basedOn w:val="Heading1"/>
    <w:next w:val="Normal"/>
    <w:uiPriority w:val="99"/>
    <w:qFormat/>
    <w:rsid w:val="00636370"/>
    <w:pPr>
      <w:spacing w:line="276" w:lineRule="auto"/>
      <w:outlineLvl w:val="9"/>
    </w:pPr>
    <w:rPr>
      <w:lang w:val="en-US" w:eastAsia="ja-JP"/>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99"/>
    <w:qFormat/>
    <w:rsid w:val="00702A84"/>
    <w:pPr>
      <w:ind w:left="720"/>
      <w:contextualSpacing/>
    </w:pPr>
  </w:style>
  <w:style w:type="paragraph" w:customStyle="1" w:styleId="Default">
    <w:name w:val="Default"/>
    <w:rsid w:val="000936AF"/>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3D66C8"/>
    <w:pPr>
      <w:spacing w:before="100" w:beforeAutospacing="1" w:after="100" w:afterAutospacing="1"/>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rsid w:val="005F7CC1"/>
    <w:rPr>
      <w:rFonts w:cs="Times New Roman"/>
      <w:sz w:val="16"/>
      <w:szCs w:val="16"/>
    </w:rPr>
  </w:style>
  <w:style w:type="paragraph" w:styleId="CommentText">
    <w:name w:val="annotation text"/>
    <w:basedOn w:val="Normal"/>
    <w:link w:val="CommentTextChar"/>
    <w:uiPriority w:val="99"/>
    <w:rsid w:val="005F7CC1"/>
    <w:rPr>
      <w:sz w:val="20"/>
      <w:szCs w:val="20"/>
    </w:rPr>
  </w:style>
  <w:style w:type="character" w:customStyle="1" w:styleId="CommentTextChar">
    <w:name w:val="Comment Text Char"/>
    <w:basedOn w:val="DefaultParagraphFont"/>
    <w:link w:val="CommentText"/>
    <w:uiPriority w:val="99"/>
    <w:locked/>
    <w:rsid w:val="005F7CC1"/>
    <w:rPr>
      <w:rFonts w:cs="Times New Roman"/>
      <w:sz w:val="20"/>
      <w:szCs w:val="20"/>
    </w:rPr>
  </w:style>
  <w:style w:type="paragraph" w:styleId="CommentSubject">
    <w:name w:val="annotation subject"/>
    <w:basedOn w:val="CommentText"/>
    <w:next w:val="CommentText"/>
    <w:link w:val="CommentSubjectChar"/>
    <w:uiPriority w:val="99"/>
    <w:semiHidden/>
    <w:rsid w:val="005F7CC1"/>
    <w:rPr>
      <w:b/>
      <w:bCs/>
    </w:rPr>
  </w:style>
  <w:style w:type="character" w:customStyle="1" w:styleId="CommentSubjectChar">
    <w:name w:val="Comment Subject Char"/>
    <w:basedOn w:val="CommentTextChar"/>
    <w:link w:val="CommentSubject"/>
    <w:uiPriority w:val="99"/>
    <w:semiHidden/>
    <w:locked/>
    <w:rsid w:val="005F7CC1"/>
    <w:rPr>
      <w:rFonts w:cs="Times New Roman"/>
      <w:b/>
      <w:bCs/>
      <w:sz w:val="20"/>
      <w:szCs w:val="20"/>
    </w:rPr>
  </w:style>
  <w:style w:type="character" w:styleId="Hyperlink">
    <w:name w:val="Hyperlink"/>
    <w:basedOn w:val="DefaultParagraphFont"/>
    <w:uiPriority w:val="99"/>
    <w:rsid w:val="00D91EB4"/>
    <w:rPr>
      <w:rFonts w:cs="Times New Roman"/>
      <w:color w:val="0000FF"/>
      <w:u w:val="single"/>
    </w:rPr>
  </w:style>
  <w:style w:type="character" w:styleId="Strong">
    <w:name w:val="Strong"/>
    <w:basedOn w:val="DefaultParagraphFont"/>
    <w:uiPriority w:val="99"/>
    <w:qFormat/>
    <w:rsid w:val="00FF02B0"/>
    <w:rPr>
      <w:rFonts w:cs="Times New Roman"/>
      <w:b/>
      <w:bCs/>
    </w:rPr>
  </w:style>
  <w:style w:type="paragraph" w:styleId="FootnoteText">
    <w:name w:val="footnote text"/>
    <w:basedOn w:val="Normal"/>
    <w:link w:val="FootnoteTextChar"/>
    <w:uiPriority w:val="99"/>
    <w:semiHidden/>
    <w:rsid w:val="00C65090"/>
    <w:rPr>
      <w:sz w:val="20"/>
      <w:szCs w:val="20"/>
    </w:rPr>
  </w:style>
  <w:style w:type="character" w:customStyle="1" w:styleId="FootnoteTextChar">
    <w:name w:val="Footnote Text Char"/>
    <w:basedOn w:val="DefaultParagraphFont"/>
    <w:link w:val="FootnoteText"/>
    <w:uiPriority w:val="99"/>
    <w:semiHidden/>
    <w:locked/>
    <w:rsid w:val="00C65090"/>
    <w:rPr>
      <w:rFonts w:cs="Times New Roman"/>
      <w:sz w:val="20"/>
      <w:szCs w:val="20"/>
    </w:rPr>
  </w:style>
  <w:style w:type="character" w:styleId="FootnoteReference">
    <w:name w:val="footnote reference"/>
    <w:basedOn w:val="DefaultParagraphFont"/>
    <w:uiPriority w:val="99"/>
    <w:semiHidden/>
    <w:rsid w:val="00C65090"/>
    <w:rPr>
      <w:rFonts w:cs="Times New Roman"/>
      <w:vertAlign w:val="superscript"/>
    </w:rPr>
  </w:style>
  <w:style w:type="character" w:styleId="FollowedHyperlink">
    <w:name w:val="FollowedHyperlink"/>
    <w:basedOn w:val="DefaultParagraphFont"/>
    <w:uiPriority w:val="99"/>
    <w:semiHidden/>
    <w:rsid w:val="00464529"/>
    <w:rPr>
      <w:rFonts w:cs="Times New Roman"/>
      <w:color w:val="800080"/>
      <w:u w:val="single"/>
    </w:rPr>
  </w:style>
  <w:style w:type="paragraph" w:styleId="TOC3">
    <w:name w:val="toc 3"/>
    <w:basedOn w:val="Normal"/>
    <w:next w:val="Normal"/>
    <w:autoRedefine/>
    <w:uiPriority w:val="99"/>
    <w:rsid w:val="000B1B50"/>
    <w:pPr>
      <w:spacing w:after="100"/>
      <w:ind w:left="440"/>
    </w:pPr>
  </w:style>
  <w:style w:type="paragraph" w:styleId="EndnoteText">
    <w:name w:val="endnote text"/>
    <w:basedOn w:val="Normal"/>
    <w:link w:val="EndnoteTextChar"/>
    <w:uiPriority w:val="99"/>
    <w:semiHidden/>
    <w:rsid w:val="00444B78"/>
    <w:rPr>
      <w:sz w:val="20"/>
      <w:szCs w:val="20"/>
    </w:rPr>
  </w:style>
  <w:style w:type="character" w:customStyle="1" w:styleId="EndnoteTextChar">
    <w:name w:val="Endnote Text Char"/>
    <w:basedOn w:val="DefaultParagraphFont"/>
    <w:link w:val="EndnoteText"/>
    <w:uiPriority w:val="99"/>
    <w:semiHidden/>
    <w:locked/>
    <w:rsid w:val="00444B78"/>
    <w:rPr>
      <w:rFonts w:cs="Times New Roman"/>
      <w:sz w:val="20"/>
      <w:szCs w:val="20"/>
    </w:rPr>
  </w:style>
  <w:style w:type="character" w:styleId="EndnoteReference">
    <w:name w:val="endnote reference"/>
    <w:basedOn w:val="DefaultParagraphFont"/>
    <w:uiPriority w:val="99"/>
    <w:semiHidden/>
    <w:rsid w:val="00444B78"/>
    <w:rPr>
      <w:rFonts w:cs="Times New Roman"/>
      <w:vertAlign w:val="superscript"/>
    </w:rPr>
  </w:style>
  <w:style w:type="paragraph" w:customStyle="1" w:styleId="top">
    <w:name w:val="top"/>
    <w:basedOn w:val="Normal"/>
    <w:uiPriority w:val="99"/>
    <w:rsid w:val="00CD4CB0"/>
    <w:pPr>
      <w:shd w:val="clear" w:color="auto" w:fill="FFFFFF"/>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rsid w:val="00375AB7"/>
    <w:pPr>
      <w:tabs>
        <w:tab w:val="center" w:pos="4513"/>
        <w:tab w:val="right" w:pos="9026"/>
      </w:tabs>
    </w:pPr>
  </w:style>
  <w:style w:type="character" w:customStyle="1" w:styleId="HeaderChar">
    <w:name w:val="Header Char"/>
    <w:basedOn w:val="DefaultParagraphFont"/>
    <w:link w:val="Header"/>
    <w:uiPriority w:val="99"/>
    <w:locked/>
    <w:rsid w:val="00375AB7"/>
    <w:rPr>
      <w:rFonts w:cs="Times New Roman"/>
    </w:rPr>
  </w:style>
  <w:style w:type="paragraph" w:styleId="Footer">
    <w:name w:val="footer"/>
    <w:basedOn w:val="Normal"/>
    <w:link w:val="FooterChar"/>
    <w:uiPriority w:val="99"/>
    <w:rsid w:val="00375AB7"/>
    <w:pPr>
      <w:tabs>
        <w:tab w:val="center" w:pos="4513"/>
        <w:tab w:val="right" w:pos="9026"/>
      </w:tabs>
    </w:pPr>
  </w:style>
  <w:style w:type="character" w:customStyle="1" w:styleId="FooterChar">
    <w:name w:val="Footer Char"/>
    <w:basedOn w:val="DefaultParagraphFont"/>
    <w:link w:val="Footer"/>
    <w:uiPriority w:val="99"/>
    <w:locked/>
    <w:rsid w:val="00375AB7"/>
    <w:rPr>
      <w:rFonts w:cs="Times New Roman"/>
    </w:rPr>
  </w:style>
  <w:style w:type="character" w:styleId="HTMLAcronym">
    <w:name w:val="HTML Acronym"/>
    <w:basedOn w:val="DefaultParagraphFont"/>
    <w:uiPriority w:val="99"/>
    <w:semiHidden/>
    <w:rsid w:val="00375AB7"/>
    <w:rPr>
      <w:rFonts w:cs="Times New Roman"/>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99"/>
    <w:locked/>
    <w:rsid w:val="007C0BBE"/>
    <w:rPr>
      <w:rFonts w:cs="Times New Roman"/>
    </w:rPr>
  </w:style>
  <w:style w:type="character" w:styleId="HTMLCite">
    <w:name w:val="HTML Cite"/>
    <w:basedOn w:val="DefaultParagraphFont"/>
    <w:uiPriority w:val="99"/>
    <w:semiHidden/>
    <w:unhideWhenUsed/>
    <w:rsid w:val="00E87F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245884">
      <w:marLeft w:val="0"/>
      <w:marRight w:val="0"/>
      <w:marTop w:val="0"/>
      <w:marBottom w:val="0"/>
      <w:divBdr>
        <w:top w:val="none" w:sz="0" w:space="0" w:color="auto"/>
        <w:left w:val="none" w:sz="0" w:space="0" w:color="auto"/>
        <w:bottom w:val="none" w:sz="0" w:space="0" w:color="auto"/>
        <w:right w:val="none" w:sz="0" w:space="0" w:color="auto"/>
      </w:divBdr>
      <w:divsChild>
        <w:div w:id="559245883">
          <w:marLeft w:val="0"/>
          <w:marRight w:val="0"/>
          <w:marTop w:val="0"/>
          <w:marBottom w:val="0"/>
          <w:divBdr>
            <w:top w:val="none" w:sz="0" w:space="0" w:color="auto"/>
            <w:left w:val="none" w:sz="0" w:space="0" w:color="auto"/>
            <w:bottom w:val="none" w:sz="0" w:space="0" w:color="auto"/>
            <w:right w:val="none" w:sz="0" w:space="0" w:color="auto"/>
          </w:divBdr>
          <w:divsChild>
            <w:div w:id="559245882">
              <w:marLeft w:val="0"/>
              <w:marRight w:val="0"/>
              <w:marTop w:val="0"/>
              <w:marBottom w:val="0"/>
              <w:divBdr>
                <w:top w:val="none" w:sz="0" w:space="0" w:color="auto"/>
                <w:left w:val="none" w:sz="0" w:space="0" w:color="auto"/>
                <w:bottom w:val="none" w:sz="0" w:space="0" w:color="auto"/>
                <w:right w:val="none" w:sz="0" w:space="0" w:color="auto"/>
              </w:divBdr>
              <w:divsChild>
                <w:div w:id="559245880">
                  <w:marLeft w:val="0"/>
                  <w:marRight w:val="0"/>
                  <w:marTop w:val="0"/>
                  <w:marBottom w:val="0"/>
                  <w:divBdr>
                    <w:top w:val="none" w:sz="0" w:space="0" w:color="auto"/>
                    <w:left w:val="none" w:sz="0" w:space="0" w:color="auto"/>
                    <w:bottom w:val="none" w:sz="0" w:space="0" w:color="auto"/>
                    <w:right w:val="none" w:sz="0" w:space="0" w:color="auto"/>
                  </w:divBdr>
                  <w:divsChild>
                    <w:div w:id="5592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889">
      <w:marLeft w:val="0"/>
      <w:marRight w:val="0"/>
      <w:marTop w:val="0"/>
      <w:marBottom w:val="0"/>
      <w:divBdr>
        <w:top w:val="none" w:sz="0" w:space="0" w:color="auto"/>
        <w:left w:val="none" w:sz="0" w:space="0" w:color="auto"/>
        <w:bottom w:val="none" w:sz="0" w:space="0" w:color="auto"/>
        <w:right w:val="none" w:sz="0" w:space="0" w:color="auto"/>
      </w:divBdr>
    </w:div>
    <w:div w:id="559245890">
      <w:marLeft w:val="0"/>
      <w:marRight w:val="0"/>
      <w:marTop w:val="0"/>
      <w:marBottom w:val="0"/>
      <w:divBdr>
        <w:top w:val="none" w:sz="0" w:space="0" w:color="auto"/>
        <w:left w:val="none" w:sz="0" w:space="0" w:color="auto"/>
        <w:bottom w:val="none" w:sz="0" w:space="0" w:color="auto"/>
        <w:right w:val="none" w:sz="0" w:space="0" w:color="auto"/>
      </w:divBdr>
    </w:div>
    <w:div w:id="559245892">
      <w:marLeft w:val="0"/>
      <w:marRight w:val="0"/>
      <w:marTop w:val="0"/>
      <w:marBottom w:val="0"/>
      <w:divBdr>
        <w:top w:val="none" w:sz="0" w:space="0" w:color="auto"/>
        <w:left w:val="none" w:sz="0" w:space="0" w:color="auto"/>
        <w:bottom w:val="none" w:sz="0" w:space="0" w:color="auto"/>
        <w:right w:val="none" w:sz="0" w:space="0" w:color="auto"/>
      </w:divBdr>
    </w:div>
    <w:div w:id="559245898">
      <w:marLeft w:val="0"/>
      <w:marRight w:val="0"/>
      <w:marTop w:val="0"/>
      <w:marBottom w:val="0"/>
      <w:divBdr>
        <w:top w:val="none" w:sz="0" w:space="0" w:color="auto"/>
        <w:left w:val="none" w:sz="0" w:space="0" w:color="auto"/>
        <w:bottom w:val="none" w:sz="0" w:space="0" w:color="auto"/>
        <w:right w:val="none" w:sz="0" w:space="0" w:color="auto"/>
      </w:divBdr>
      <w:divsChild>
        <w:div w:id="559245978">
          <w:marLeft w:val="0"/>
          <w:marRight w:val="0"/>
          <w:marTop w:val="0"/>
          <w:marBottom w:val="0"/>
          <w:divBdr>
            <w:top w:val="none" w:sz="0" w:space="0" w:color="auto"/>
            <w:left w:val="none" w:sz="0" w:space="0" w:color="auto"/>
            <w:bottom w:val="none" w:sz="0" w:space="0" w:color="auto"/>
            <w:right w:val="none" w:sz="0" w:space="0" w:color="auto"/>
          </w:divBdr>
          <w:divsChild>
            <w:div w:id="559245948">
              <w:marLeft w:val="0"/>
              <w:marRight w:val="0"/>
              <w:marTop w:val="0"/>
              <w:marBottom w:val="0"/>
              <w:divBdr>
                <w:top w:val="none" w:sz="0" w:space="0" w:color="auto"/>
                <w:left w:val="none" w:sz="0" w:space="0" w:color="auto"/>
                <w:bottom w:val="none" w:sz="0" w:space="0" w:color="auto"/>
                <w:right w:val="none" w:sz="0" w:space="0" w:color="auto"/>
              </w:divBdr>
              <w:divsChild>
                <w:div w:id="559245991">
                  <w:marLeft w:val="0"/>
                  <w:marRight w:val="0"/>
                  <w:marTop w:val="0"/>
                  <w:marBottom w:val="0"/>
                  <w:divBdr>
                    <w:top w:val="none" w:sz="0" w:space="0" w:color="auto"/>
                    <w:left w:val="none" w:sz="0" w:space="0" w:color="auto"/>
                    <w:bottom w:val="none" w:sz="0" w:space="0" w:color="auto"/>
                    <w:right w:val="none" w:sz="0" w:space="0" w:color="auto"/>
                  </w:divBdr>
                  <w:divsChild>
                    <w:div w:id="5592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900">
      <w:marLeft w:val="0"/>
      <w:marRight w:val="0"/>
      <w:marTop w:val="0"/>
      <w:marBottom w:val="0"/>
      <w:divBdr>
        <w:top w:val="none" w:sz="0" w:space="0" w:color="auto"/>
        <w:left w:val="none" w:sz="0" w:space="0" w:color="auto"/>
        <w:bottom w:val="none" w:sz="0" w:space="0" w:color="auto"/>
        <w:right w:val="none" w:sz="0" w:space="0" w:color="auto"/>
      </w:divBdr>
      <w:divsChild>
        <w:div w:id="559245919">
          <w:marLeft w:val="0"/>
          <w:marRight w:val="0"/>
          <w:marTop w:val="0"/>
          <w:marBottom w:val="0"/>
          <w:divBdr>
            <w:top w:val="none" w:sz="0" w:space="0" w:color="auto"/>
            <w:left w:val="none" w:sz="0" w:space="0" w:color="auto"/>
            <w:bottom w:val="none" w:sz="0" w:space="0" w:color="auto"/>
            <w:right w:val="none" w:sz="0" w:space="0" w:color="auto"/>
          </w:divBdr>
          <w:divsChild>
            <w:div w:id="559245997">
              <w:marLeft w:val="0"/>
              <w:marRight w:val="0"/>
              <w:marTop w:val="0"/>
              <w:marBottom w:val="0"/>
              <w:divBdr>
                <w:top w:val="none" w:sz="0" w:space="0" w:color="auto"/>
                <w:left w:val="none" w:sz="0" w:space="0" w:color="auto"/>
                <w:bottom w:val="none" w:sz="0" w:space="0" w:color="auto"/>
                <w:right w:val="none" w:sz="0" w:space="0" w:color="auto"/>
              </w:divBdr>
              <w:divsChild>
                <w:div w:id="559245983">
                  <w:marLeft w:val="0"/>
                  <w:marRight w:val="0"/>
                  <w:marTop w:val="0"/>
                  <w:marBottom w:val="0"/>
                  <w:divBdr>
                    <w:top w:val="none" w:sz="0" w:space="0" w:color="auto"/>
                    <w:left w:val="none" w:sz="0" w:space="0" w:color="auto"/>
                    <w:bottom w:val="none" w:sz="0" w:space="0" w:color="auto"/>
                    <w:right w:val="none" w:sz="0" w:space="0" w:color="auto"/>
                  </w:divBdr>
                  <w:divsChild>
                    <w:div w:id="55924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912">
      <w:marLeft w:val="0"/>
      <w:marRight w:val="0"/>
      <w:marTop w:val="0"/>
      <w:marBottom w:val="0"/>
      <w:divBdr>
        <w:top w:val="none" w:sz="0" w:space="0" w:color="auto"/>
        <w:left w:val="none" w:sz="0" w:space="0" w:color="auto"/>
        <w:bottom w:val="none" w:sz="0" w:space="0" w:color="auto"/>
        <w:right w:val="none" w:sz="0" w:space="0" w:color="auto"/>
      </w:divBdr>
      <w:divsChild>
        <w:div w:id="559245918">
          <w:marLeft w:val="0"/>
          <w:marRight w:val="0"/>
          <w:marTop w:val="0"/>
          <w:marBottom w:val="0"/>
          <w:divBdr>
            <w:top w:val="none" w:sz="0" w:space="0" w:color="auto"/>
            <w:left w:val="none" w:sz="0" w:space="0" w:color="auto"/>
            <w:bottom w:val="none" w:sz="0" w:space="0" w:color="auto"/>
            <w:right w:val="none" w:sz="0" w:space="0" w:color="auto"/>
          </w:divBdr>
          <w:divsChild>
            <w:div w:id="559245929">
              <w:marLeft w:val="0"/>
              <w:marRight w:val="0"/>
              <w:marTop w:val="0"/>
              <w:marBottom w:val="0"/>
              <w:divBdr>
                <w:top w:val="none" w:sz="0" w:space="0" w:color="auto"/>
                <w:left w:val="none" w:sz="0" w:space="0" w:color="auto"/>
                <w:bottom w:val="none" w:sz="0" w:space="0" w:color="auto"/>
                <w:right w:val="none" w:sz="0" w:space="0" w:color="auto"/>
              </w:divBdr>
              <w:divsChild>
                <w:div w:id="559246018">
                  <w:marLeft w:val="0"/>
                  <w:marRight w:val="0"/>
                  <w:marTop w:val="0"/>
                  <w:marBottom w:val="0"/>
                  <w:divBdr>
                    <w:top w:val="none" w:sz="0" w:space="0" w:color="auto"/>
                    <w:left w:val="none" w:sz="0" w:space="0" w:color="auto"/>
                    <w:bottom w:val="none" w:sz="0" w:space="0" w:color="auto"/>
                    <w:right w:val="none" w:sz="0" w:space="0" w:color="auto"/>
                  </w:divBdr>
                  <w:divsChild>
                    <w:div w:id="55924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915">
      <w:marLeft w:val="0"/>
      <w:marRight w:val="0"/>
      <w:marTop w:val="0"/>
      <w:marBottom w:val="0"/>
      <w:divBdr>
        <w:top w:val="none" w:sz="0" w:space="0" w:color="auto"/>
        <w:left w:val="none" w:sz="0" w:space="0" w:color="auto"/>
        <w:bottom w:val="none" w:sz="0" w:space="0" w:color="auto"/>
        <w:right w:val="none" w:sz="0" w:space="0" w:color="auto"/>
      </w:divBdr>
      <w:divsChild>
        <w:div w:id="559245938">
          <w:marLeft w:val="0"/>
          <w:marRight w:val="0"/>
          <w:marTop w:val="0"/>
          <w:marBottom w:val="0"/>
          <w:divBdr>
            <w:top w:val="none" w:sz="0" w:space="0" w:color="auto"/>
            <w:left w:val="none" w:sz="0" w:space="0" w:color="auto"/>
            <w:bottom w:val="none" w:sz="0" w:space="0" w:color="auto"/>
            <w:right w:val="none" w:sz="0" w:space="0" w:color="auto"/>
          </w:divBdr>
          <w:divsChild>
            <w:div w:id="559245910">
              <w:marLeft w:val="0"/>
              <w:marRight w:val="0"/>
              <w:marTop w:val="0"/>
              <w:marBottom w:val="0"/>
              <w:divBdr>
                <w:top w:val="none" w:sz="0" w:space="0" w:color="auto"/>
                <w:left w:val="none" w:sz="0" w:space="0" w:color="auto"/>
                <w:bottom w:val="none" w:sz="0" w:space="0" w:color="auto"/>
                <w:right w:val="none" w:sz="0" w:space="0" w:color="auto"/>
              </w:divBdr>
              <w:divsChild>
                <w:div w:id="559245982">
                  <w:marLeft w:val="0"/>
                  <w:marRight w:val="0"/>
                  <w:marTop w:val="0"/>
                  <w:marBottom w:val="0"/>
                  <w:divBdr>
                    <w:top w:val="none" w:sz="0" w:space="0" w:color="auto"/>
                    <w:left w:val="none" w:sz="0" w:space="0" w:color="auto"/>
                    <w:bottom w:val="none" w:sz="0" w:space="0" w:color="auto"/>
                    <w:right w:val="none" w:sz="0" w:space="0" w:color="auto"/>
                  </w:divBdr>
                  <w:divsChild>
                    <w:div w:id="55924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916">
      <w:marLeft w:val="0"/>
      <w:marRight w:val="0"/>
      <w:marTop w:val="0"/>
      <w:marBottom w:val="0"/>
      <w:divBdr>
        <w:top w:val="none" w:sz="0" w:space="0" w:color="auto"/>
        <w:left w:val="none" w:sz="0" w:space="0" w:color="auto"/>
        <w:bottom w:val="none" w:sz="0" w:space="0" w:color="auto"/>
        <w:right w:val="none" w:sz="0" w:space="0" w:color="auto"/>
      </w:divBdr>
      <w:divsChild>
        <w:div w:id="559245906">
          <w:marLeft w:val="0"/>
          <w:marRight w:val="0"/>
          <w:marTop w:val="0"/>
          <w:marBottom w:val="0"/>
          <w:divBdr>
            <w:top w:val="none" w:sz="0" w:space="0" w:color="auto"/>
            <w:left w:val="none" w:sz="0" w:space="0" w:color="auto"/>
            <w:bottom w:val="none" w:sz="0" w:space="0" w:color="auto"/>
            <w:right w:val="none" w:sz="0" w:space="0" w:color="auto"/>
          </w:divBdr>
          <w:divsChild>
            <w:div w:id="559245955">
              <w:marLeft w:val="0"/>
              <w:marRight w:val="0"/>
              <w:marTop w:val="0"/>
              <w:marBottom w:val="0"/>
              <w:divBdr>
                <w:top w:val="none" w:sz="0" w:space="0" w:color="auto"/>
                <w:left w:val="none" w:sz="0" w:space="0" w:color="auto"/>
                <w:bottom w:val="none" w:sz="0" w:space="0" w:color="auto"/>
                <w:right w:val="none" w:sz="0" w:space="0" w:color="auto"/>
              </w:divBdr>
              <w:divsChild>
                <w:div w:id="559245943">
                  <w:marLeft w:val="0"/>
                  <w:marRight w:val="0"/>
                  <w:marTop w:val="0"/>
                  <w:marBottom w:val="0"/>
                  <w:divBdr>
                    <w:top w:val="none" w:sz="0" w:space="0" w:color="auto"/>
                    <w:left w:val="none" w:sz="0" w:space="0" w:color="auto"/>
                    <w:bottom w:val="none" w:sz="0" w:space="0" w:color="auto"/>
                    <w:right w:val="none" w:sz="0" w:space="0" w:color="auto"/>
                  </w:divBdr>
                  <w:divsChild>
                    <w:div w:id="5592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920">
      <w:marLeft w:val="0"/>
      <w:marRight w:val="0"/>
      <w:marTop w:val="0"/>
      <w:marBottom w:val="0"/>
      <w:divBdr>
        <w:top w:val="none" w:sz="0" w:space="0" w:color="auto"/>
        <w:left w:val="none" w:sz="0" w:space="0" w:color="auto"/>
        <w:bottom w:val="none" w:sz="0" w:space="0" w:color="auto"/>
        <w:right w:val="none" w:sz="0" w:space="0" w:color="auto"/>
      </w:divBdr>
      <w:divsChild>
        <w:div w:id="559245904">
          <w:marLeft w:val="0"/>
          <w:marRight w:val="0"/>
          <w:marTop w:val="0"/>
          <w:marBottom w:val="0"/>
          <w:divBdr>
            <w:top w:val="none" w:sz="0" w:space="0" w:color="auto"/>
            <w:left w:val="none" w:sz="0" w:space="0" w:color="auto"/>
            <w:bottom w:val="none" w:sz="0" w:space="0" w:color="auto"/>
            <w:right w:val="none" w:sz="0" w:space="0" w:color="auto"/>
          </w:divBdr>
          <w:divsChild>
            <w:div w:id="559246005">
              <w:marLeft w:val="0"/>
              <w:marRight w:val="0"/>
              <w:marTop w:val="0"/>
              <w:marBottom w:val="0"/>
              <w:divBdr>
                <w:top w:val="none" w:sz="0" w:space="0" w:color="auto"/>
                <w:left w:val="none" w:sz="0" w:space="0" w:color="auto"/>
                <w:bottom w:val="none" w:sz="0" w:space="0" w:color="auto"/>
                <w:right w:val="none" w:sz="0" w:space="0" w:color="auto"/>
              </w:divBdr>
              <w:divsChild>
                <w:div w:id="559245939">
                  <w:marLeft w:val="0"/>
                  <w:marRight w:val="0"/>
                  <w:marTop w:val="0"/>
                  <w:marBottom w:val="0"/>
                  <w:divBdr>
                    <w:top w:val="none" w:sz="0" w:space="0" w:color="auto"/>
                    <w:left w:val="none" w:sz="0" w:space="0" w:color="auto"/>
                    <w:bottom w:val="none" w:sz="0" w:space="0" w:color="auto"/>
                    <w:right w:val="none" w:sz="0" w:space="0" w:color="auto"/>
                  </w:divBdr>
                  <w:divsChild>
                    <w:div w:id="559246013">
                      <w:marLeft w:val="0"/>
                      <w:marRight w:val="0"/>
                      <w:marTop w:val="0"/>
                      <w:marBottom w:val="0"/>
                      <w:divBdr>
                        <w:top w:val="none" w:sz="0" w:space="0" w:color="auto"/>
                        <w:left w:val="none" w:sz="0" w:space="0" w:color="auto"/>
                        <w:bottom w:val="none" w:sz="0" w:space="0" w:color="auto"/>
                        <w:right w:val="none" w:sz="0" w:space="0" w:color="auto"/>
                      </w:divBdr>
                      <w:divsChild>
                        <w:div w:id="559245964">
                          <w:marLeft w:val="720"/>
                          <w:marRight w:val="720"/>
                          <w:marTop w:val="100"/>
                          <w:marBottom w:val="100"/>
                          <w:divBdr>
                            <w:top w:val="none" w:sz="0" w:space="0" w:color="auto"/>
                            <w:left w:val="none" w:sz="0" w:space="0" w:color="auto"/>
                            <w:bottom w:val="none" w:sz="0" w:space="0" w:color="auto"/>
                            <w:right w:val="none" w:sz="0" w:space="0" w:color="auto"/>
                          </w:divBdr>
                        </w:div>
                        <w:div w:id="55924600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59245923">
      <w:marLeft w:val="0"/>
      <w:marRight w:val="0"/>
      <w:marTop w:val="0"/>
      <w:marBottom w:val="0"/>
      <w:divBdr>
        <w:top w:val="none" w:sz="0" w:space="0" w:color="auto"/>
        <w:left w:val="none" w:sz="0" w:space="0" w:color="auto"/>
        <w:bottom w:val="none" w:sz="0" w:space="0" w:color="auto"/>
        <w:right w:val="none" w:sz="0" w:space="0" w:color="auto"/>
      </w:divBdr>
    </w:div>
    <w:div w:id="559245927">
      <w:marLeft w:val="0"/>
      <w:marRight w:val="0"/>
      <w:marTop w:val="0"/>
      <w:marBottom w:val="0"/>
      <w:divBdr>
        <w:top w:val="none" w:sz="0" w:space="0" w:color="auto"/>
        <w:left w:val="none" w:sz="0" w:space="0" w:color="auto"/>
        <w:bottom w:val="none" w:sz="0" w:space="0" w:color="auto"/>
        <w:right w:val="none" w:sz="0" w:space="0" w:color="auto"/>
      </w:divBdr>
    </w:div>
    <w:div w:id="559245934">
      <w:marLeft w:val="0"/>
      <w:marRight w:val="0"/>
      <w:marTop w:val="0"/>
      <w:marBottom w:val="0"/>
      <w:divBdr>
        <w:top w:val="none" w:sz="0" w:space="0" w:color="auto"/>
        <w:left w:val="none" w:sz="0" w:space="0" w:color="auto"/>
        <w:bottom w:val="none" w:sz="0" w:space="0" w:color="auto"/>
        <w:right w:val="none" w:sz="0" w:space="0" w:color="auto"/>
      </w:divBdr>
    </w:div>
    <w:div w:id="559245949">
      <w:marLeft w:val="0"/>
      <w:marRight w:val="0"/>
      <w:marTop w:val="0"/>
      <w:marBottom w:val="0"/>
      <w:divBdr>
        <w:top w:val="none" w:sz="0" w:space="0" w:color="auto"/>
        <w:left w:val="none" w:sz="0" w:space="0" w:color="auto"/>
        <w:bottom w:val="none" w:sz="0" w:space="0" w:color="auto"/>
        <w:right w:val="none" w:sz="0" w:space="0" w:color="auto"/>
      </w:divBdr>
      <w:divsChild>
        <w:div w:id="559245901">
          <w:marLeft w:val="0"/>
          <w:marRight w:val="0"/>
          <w:marTop w:val="0"/>
          <w:marBottom w:val="0"/>
          <w:divBdr>
            <w:top w:val="none" w:sz="0" w:space="0" w:color="auto"/>
            <w:left w:val="none" w:sz="0" w:space="0" w:color="auto"/>
            <w:bottom w:val="none" w:sz="0" w:space="0" w:color="auto"/>
            <w:right w:val="none" w:sz="0" w:space="0" w:color="auto"/>
          </w:divBdr>
          <w:divsChild>
            <w:div w:id="559245887">
              <w:marLeft w:val="0"/>
              <w:marRight w:val="0"/>
              <w:marTop w:val="0"/>
              <w:marBottom w:val="0"/>
              <w:divBdr>
                <w:top w:val="none" w:sz="0" w:space="0" w:color="auto"/>
                <w:left w:val="none" w:sz="0" w:space="0" w:color="auto"/>
                <w:bottom w:val="none" w:sz="0" w:space="0" w:color="auto"/>
                <w:right w:val="none" w:sz="0" w:space="0" w:color="auto"/>
              </w:divBdr>
              <w:divsChild>
                <w:div w:id="559245979">
                  <w:marLeft w:val="0"/>
                  <w:marRight w:val="0"/>
                  <w:marTop w:val="0"/>
                  <w:marBottom w:val="0"/>
                  <w:divBdr>
                    <w:top w:val="none" w:sz="0" w:space="0" w:color="auto"/>
                    <w:left w:val="none" w:sz="0" w:space="0" w:color="auto"/>
                    <w:bottom w:val="none" w:sz="0" w:space="0" w:color="auto"/>
                    <w:right w:val="none" w:sz="0" w:space="0" w:color="auto"/>
                  </w:divBdr>
                  <w:divsChild>
                    <w:div w:id="5592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952">
      <w:marLeft w:val="0"/>
      <w:marRight w:val="0"/>
      <w:marTop w:val="0"/>
      <w:marBottom w:val="0"/>
      <w:divBdr>
        <w:top w:val="none" w:sz="0" w:space="0" w:color="auto"/>
        <w:left w:val="none" w:sz="0" w:space="0" w:color="auto"/>
        <w:bottom w:val="none" w:sz="0" w:space="0" w:color="auto"/>
        <w:right w:val="none" w:sz="0" w:space="0" w:color="auto"/>
      </w:divBdr>
      <w:divsChild>
        <w:div w:id="559245941">
          <w:marLeft w:val="0"/>
          <w:marRight w:val="0"/>
          <w:marTop w:val="0"/>
          <w:marBottom w:val="0"/>
          <w:divBdr>
            <w:top w:val="none" w:sz="0" w:space="0" w:color="auto"/>
            <w:left w:val="none" w:sz="0" w:space="0" w:color="auto"/>
            <w:bottom w:val="none" w:sz="0" w:space="0" w:color="auto"/>
            <w:right w:val="none" w:sz="0" w:space="0" w:color="auto"/>
          </w:divBdr>
          <w:divsChild>
            <w:div w:id="559245891">
              <w:marLeft w:val="0"/>
              <w:marRight w:val="0"/>
              <w:marTop w:val="0"/>
              <w:marBottom w:val="0"/>
              <w:divBdr>
                <w:top w:val="none" w:sz="0" w:space="0" w:color="auto"/>
                <w:left w:val="none" w:sz="0" w:space="0" w:color="auto"/>
                <w:bottom w:val="none" w:sz="0" w:space="0" w:color="auto"/>
                <w:right w:val="none" w:sz="0" w:space="0" w:color="auto"/>
              </w:divBdr>
              <w:divsChild>
                <w:div w:id="559246007">
                  <w:marLeft w:val="0"/>
                  <w:marRight w:val="0"/>
                  <w:marTop w:val="0"/>
                  <w:marBottom w:val="0"/>
                  <w:divBdr>
                    <w:top w:val="none" w:sz="0" w:space="0" w:color="auto"/>
                    <w:left w:val="none" w:sz="0" w:space="0" w:color="auto"/>
                    <w:bottom w:val="none" w:sz="0" w:space="0" w:color="auto"/>
                    <w:right w:val="none" w:sz="0" w:space="0" w:color="auto"/>
                  </w:divBdr>
                  <w:divsChild>
                    <w:div w:id="559245977">
                      <w:marLeft w:val="0"/>
                      <w:marRight w:val="0"/>
                      <w:marTop w:val="0"/>
                      <w:marBottom w:val="0"/>
                      <w:divBdr>
                        <w:top w:val="none" w:sz="0" w:space="0" w:color="auto"/>
                        <w:left w:val="none" w:sz="0" w:space="0" w:color="auto"/>
                        <w:bottom w:val="none" w:sz="0" w:space="0" w:color="auto"/>
                        <w:right w:val="none" w:sz="0" w:space="0" w:color="auto"/>
                      </w:divBdr>
                      <w:divsChild>
                        <w:div w:id="559245902">
                          <w:marLeft w:val="0"/>
                          <w:marRight w:val="0"/>
                          <w:marTop w:val="0"/>
                          <w:marBottom w:val="0"/>
                          <w:divBdr>
                            <w:top w:val="none" w:sz="0" w:space="0" w:color="auto"/>
                            <w:left w:val="none" w:sz="0" w:space="0" w:color="auto"/>
                            <w:bottom w:val="none" w:sz="0" w:space="0" w:color="auto"/>
                            <w:right w:val="none" w:sz="0" w:space="0" w:color="auto"/>
                          </w:divBdr>
                          <w:divsChild>
                            <w:div w:id="5592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245954">
      <w:marLeft w:val="0"/>
      <w:marRight w:val="0"/>
      <w:marTop w:val="0"/>
      <w:marBottom w:val="0"/>
      <w:divBdr>
        <w:top w:val="none" w:sz="0" w:space="0" w:color="auto"/>
        <w:left w:val="none" w:sz="0" w:space="0" w:color="auto"/>
        <w:bottom w:val="none" w:sz="0" w:space="0" w:color="auto"/>
        <w:right w:val="none" w:sz="0" w:space="0" w:color="auto"/>
      </w:divBdr>
      <w:divsChild>
        <w:div w:id="559245936">
          <w:marLeft w:val="0"/>
          <w:marRight w:val="0"/>
          <w:marTop w:val="0"/>
          <w:marBottom w:val="0"/>
          <w:divBdr>
            <w:top w:val="none" w:sz="0" w:space="0" w:color="auto"/>
            <w:left w:val="none" w:sz="0" w:space="0" w:color="auto"/>
            <w:bottom w:val="none" w:sz="0" w:space="0" w:color="auto"/>
            <w:right w:val="none" w:sz="0" w:space="0" w:color="auto"/>
          </w:divBdr>
          <w:divsChild>
            <w:div w:id="559246004">
              <w:marLeft w:val="0"/>
              <w:marRight w:val="0"/>
              <w:marTop w:val="0"/>
              <w:marBottom w:val="0"/>
              <w:divBdr>
                <w:top w:val="none" w:sz="0" w:space="0" w:color="auto"/>
                <w:left w:val="none" w:sz="0" w:space="0" w:color="auto"/>
                <w:bottom w:val="none" w:sz="0" w:space="0" w:color="auto"/>
                <w:right w:val="none" w:sz="0" w:space="0" w:color="auto"/>
              </w:divBdr>
              <w:divsChild>
                <w:div w:id="559245974">
                  <w:marLeft w:val="0"/>
                  <w:marRight w:val="0"/>
                  <w:marTop w:val="0"/>
                  <w:marBottom w:val="0"/>
                  <w:divBdr>
                    <w:top w:val="none" w:sz="0" w:space="0" w:color="auto"/>
                    <w:left w:val="none" w:sz="0" w:space="0" w:color="auto"/>
                    <w:bottom w:val="none" w:sz="0" w:space="0" w:color="auto"/>
                    <w:right w:val="none" w:sz="0" w:space="0" w:color="auto"/>
                  </w:divBdr>
                  <w:divsChild>
                    <w:div w:id="55924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959">
      <w:marLeft w:val="0"/>
      <w:marRight w:val="0"/>
      <w:marTop w:val="0"/>
      <w:marBottom w:val="0"/>
      <w:divBdr>
        <w:top w:val="none" w:sz="0" w:space="0" w:color="auto"/>
        <w:left w:val="none" w:sz="0" w:space="0" w:color="auto"/>
        <w:bottom w:val="none" w:sz="0" w:space="0" w:color="auto"/>
        <w:right w:val="none" w:sz="0" w:space="0" w:color="auto"/>
      </w:divBdr>
    </w:div>
    <w:div w:id="559245960">
      <w:marLeft w:val="0"/>
      <w:marRight w:val="0"/>
      <w:marTop w:val="0"/>
      <w:marBottom w:val="0"/>
      <w:divBdr>
        <w:top w:val="none" w:sz="0" w:space="0" w:color="auto"/>
        <w:left w:val="none" w:sz="0" w:space="0" w:color="auto"/>
        <w:bottom w:val="none" w:sz="0" w:space="0" w:color="auto"/>
        <w:right w:val="none" w:sz="0" w:space="0" w:color="auto"/>
      </w:divBdr>
      <w:divsChild>
        <w:div w:id="559245893">
          <w:marLeft w:val="547"/>
          <w:marRight w:val="0"/>
          <w:marTop w:val="67"/>
          <w:marBottom w:val="0"/>
          <w:divBdr>
            <w:top w:val="none" w:sz="0" w:space="0" w:color="auto"/>
            <w:left w:val="none" w:sz="0" w:space="0" w:color="auto"/>
            <w:bottom w:val="none" w:sz="0" w:space="0" w:color="auto"/>
            <w:right w:val="none" w:sz="0" w:space="0" w:color="auto"/>
          </w:divBdr>
        </w:div>
        <w:div w:id="559245896">
          <w:marLeft w:val="547"/>
          <w:marRight w:val="0"/>
          <w:marTop w:val="67"/>
          <w:marBottom w:val="0"/>
          <w:divBdr>
            <w:top w:val="none" w:sz="0" w:space="0" w:color="auto"/>
            <w:left w:val="none" w:sz="0" w:space="0" w:color="auto"/>
            <w:bottom w:val="none" w:sz="0" w:space="0" w:color="auto"/>
            <w:right w:val="none" w:sz="0" w:space="0" w:color="auto"/>
          </w:divBdr>
        </w:div>
        <w:div w:id="559245914">
          <w:marLeft w:val="547"/>
          <w:marRight w:val="0"/>
          <w:marTop w:val="67"/>
          <w:marBottom w:val="0"/>
          <w:divBdr>
            <w:top w:val="none" w:sz="0" w:space="0" w:color="auto"/>
            <w:left w:val="none" w:sz="0" w:space="0" w:color="auto"/>
            <w:bottom w:val="none" w:sz="0" w:space="0" w:color="auto"/>
            <w:right w:val="none" w:sz="0" w:space="0" w:color="auto"/>
          </w:divBdr>
        </w:div>
        <w:div w:id="559245924">
          <w:marLeft w:val="547"/>
          <w:marRight w:val="0"/>
          <w:marTop w:val="67"/>
          <w:marBottom w:val="0"/>
          <w:divBdr>
            <w:top w:val="none" w:sz="0" w:space="0" w:color="auto"/>
            <w:left w:val="none" w:sz="0" w:space="0" w:color="auto"/>
            <w:bottom w:val="none" w:sz="0" w:space="0" w:color="auto"/>
            <w:right w:val="none" w:sz="0" w:space="0" w:color="auto"/>
          </w:divBdr>
        </w:div>
        <w:div w:id="559245932">
          <w:marLeft w:val="547"/>
          <w:marRight w:val="0"/>
          <w:marTop w:val="67"/>
          <w:marBottom w:val="0"/>
          <w:divBdr>
            <w:top w:val="none" w:sz="0" w:space="0" w:color="auto"/>
            <w:left w:val="none" w:sz="0" w:space="0" w:color="auto"/>
            <w:bottom w:val="none" w:sz="0" w:space="0" w:color="auto"/>
            <w:right w:val="none" w:sz="0" w:space="0" w:color="auto"/>
          </w:divBdr>
        </w:div>
        <w:div w:id="559245937">
          <w:marLeft w:val="547"/>
          <w:marRight w:val="0"/>
          <w:marTop w:val="67"/>
          <w:marBottom w:val="0"/>
          <w:divBdr>
            <w:top w:val="none" w:sz="0" w:space="0" w:color="auto"/>
            <w:left w:val="none" w:sz="0" w:space="0" w:color="auto"/>
            <w:bottom w:val="none" w:sz="0" w:space="0" w:color="auto"/>
            <w:right w:val="none" w:sz="0" w:space="0" w:color="auto"/>
          </w:divBdr>
        </w:div>
        <w:div w:id="559245944">
          <w:marLeft w:val="547"/>
          <w:marRight w:val="0"/>
          <w:marTop w:val="67"/>
          <w:marBottom w:val="0"/>
          <w:divBdr>
            <w:top w:val="none" w:sz="0" w:space="0" w:color="auto"/>
            <w:left w:val="none" w:sz="0" w:space="0" w:color="auto"/>
            <w:bottom w:val="none" w:sz="0" w:space="0" w:color="auto"/>
            <w:right w:val="none" w:sz="0" w:space="0" w:color="auto"/>
          </w:divBdr>
        </w:div>
        <w:div w:id="559245945">
          <w:marLeft w:val="547"/>
          <w:marRight w:val="0"/>
          <w:marTop w:val="67"/>
          <w:marBottom w:val="0"/>
          <w:divBdr>
            <w:top w:val="none" w:sz="0" w:space="0" w:color="auto"/>
            <w:left w:val="none" w:sz="0" w:space="0" w:color="auto"/>
            <w:bottom w:val="none" w:sz="0" w:space="0" w:color="auto"/>
            <w:right w:val="none" w:sz="0" w:space="0" w:color="auto"/>
          </w:divBdr>
        </w:div>
        <w:div w:id="559245957">
          <w:marLeft w:val="547"/>
          <w:marRight w:val="0"/>
          <w:marTop w:val="67"/>
          <w:marBottom w:val="0"/>
          <w:divBdr>
            <w:top w:val="none" w:sz="0" w:space="0" w:color="auto"/>
            <w:left w:val="none" w:sz="0" w:space="0" w:color="auto"/>
            <w:bottom w:val="none" w:sz="0" w:space="0" w:color="auto"/>
            <w:right w:val="none" w:sz="0" w:space="0" w:color="auto"/>
          </w:divBdr>
        </w:div>
        <w:div w:id="559245998">
          <w:marLeft w:val="547"/>
          <w:marRight w:val="0"/>
          <w:marTop w:val="67"/>
          <w:marBottom w:val="0"/>
          <w:divBdr>
            <w:top w:val="none" w:sz="0" w:space="0" w:color="auto"/>
            <w:left w:val="none" w:sz="0" w:space="0" w:color="auto"/>
            <w:bottom w:val="none" w:sz="0" w:space="0" w:color="auto"/>
            <w:right w:val="none" w:sz="0" w:space="0" w:color="auto"/>
          </w:divBdr>
        </w:div>
        <w:div w:id="559246017">
          <w:marLeft w:val="547"/>
          <w:marRight w:val="0"/>
          <w:marTop w:val="67"/>
          <w:marBottom w:val="0"/>
          <w:divBdr>
            <w:top w:val="none" w:sz="0" w:space="0" w:color="auto"/>
            <w:left w:val="none" w:sz="0" w:space="0" w:color="auto"/>
            <w:bottom w:val="none" w:sz="0" w:space="0" w:color="auto"/>
            <w:right w:val="none" w:sz="0" w:space="0" w:color="auto"/>
          </w:divBdr>
        </w:div>
      </w:divsChild>
    </w:div>
    <w:div w:id="559245962">
      <w:marLeft w:val="0"/>
      <w:marRight w:val="0"/>
      <w:marTop w:val="0"/>
      <w:marBottom w:val="0"/>
      <w:divBdr>
        <w:top w:val="none" w:sz="0" w:space="0" w:color="auto"/>
        <w:left w:val="none" w:sz="0" w:space="0" w:color="auto"/>
        <w:bottom w:val="none" w:sz="0" w:space="0" w:color="auto"/>
        <w:right w:val="none" w:sz="0" w:space="0" w:color="auto"/>
      </w:divBdr>
      <w:divsChild>
        <w:div w:id="559245966">
          <w:marLeft w:val="0"/>
          <w:marRight w:val="0"/>
          <w:marTop w:val="0"/>
          <w:marBottom w:val="0"/>
          <w:divBdr>
            <w:top w:val="none" w:sz="0" w:space="0" w:color="auto"/>
            <w:left w:val="none" w:sz="0" w:space="0" w:color="auto"/>
            <w:bottom w:val="none" w:sz="0" w:space="0" w:color="auto"/>
            <w:right w:val="none" w:sz="0" w:space="0" w:color="auto"/>
          </w:divBdr>
          <w:divsChild>
            <w:div w:id="559245961">
              <w:marLeft w:val="0"/>
              <w:marRight w:val="0"/>
              <w:marTop w:val="0"/>
              <w:marBottom w:val="0"/>
              <w:divBdr>
                <w:top w:val="none" w:sz="0" w:space="0" w:color="auto"/>
                <w:left w:val="none" w:sz="0" w:space="0" w:color="auto"/>
                <w:bottom w:val="none" w:sz="0" w:space="0" w:color="auto"/>
                <w:right w:val="none" w:sz="0" w:space="0" w:color="auto"/>
              </w:divBdr>
              <w:divsChild>
                <w:div w:id="559245956">
                  <w:marLeft w:val="0"/>
                  <w:marRight w:val="0"/>
                  <w:marTop w:val="0"/>
                  <w:marBottom w:val="0"/>
                  <w:divBdr>
                    <w:top w:val="none" w:sz="0" w:space="0" w:color="auto"/>
                    <w:left w:val="none" w:sz="0" w:space="0" w:color="auto"/>
                    <w:bottom w:val="none" w:sz="0" w:space="0" w:color="auto"/>
                    <w:right w:val="none" w:sz="0" w:space="0" w:color="auto"/>
                  </w:divBdr>
                  <w:divsChild>
                    <w:div w:id="55924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963">
      <w:marLeft w:val="0"/>
      <w:marRight w:val="0"/>
      <w:marTop w:val="0"/>
      <w:marBottom w:val="0"/>
      <w:divBdr>
        <w:top w:val="none" w:sz="0" w:space="0" w:color="auto"/>
        <w:left w:val="none" w:sz="0" w:space="0" w:color="auto"/>
        <w:bottom w:val="none" w:sz="0" w:space="0" w:color="auto"/>
        <w:right w:val="none" w:sz="0" w:space="0" w:color="auto"/>
      </w:divBdr>
    </w:div>
    <w:div w:id="559245965">
      <w:marLeft w:val="0"/>
      <w:marRight w:val="0"/>
      <w:marTop w:val="0"/>
      <w:marBottom w:val="0"/>
      <w:divBdr>
        <w:top w:val="none" w:sz="0" w:space="0" w:color="auto"/>
        <w:left w:val="none" w:sz="0" w:space="0" w:color="auto"/>
        <w:bottom w:val="none" w:sz="0" w:space="0" w:color="auto"/>
        <w:right w:val="none" w:sz="0" w:space="0" w:color="auto"/>
      </w:divBdr>
      <w:divsChild>
        <w:div w:id="559245995">
          <w:marLeft w:val="0"/>
          <w:marRight w:val="0"/>
          <w:marTop w:val="0"/>
          <w:marBottom w:val="0"/>
          <w:divBdr>
            <w:top w:val="none" w:sz="0" w:space="0" w:color="auto"/>
            <w:left w:val="none" w:sz="0" w:space="0" w:color="auto"/>
            <w:bottom w:val="none" w:sz="0" w:space="0" w:color="auto"/>
            <w:right w:val="none" w:sz="0" w:space="0" w:color="auto"/>
          </w:divBdr>
          <w:divsChild>
            <w:div w:id="559245994">
              <w:marLeft w:val="0"/>
              <w:marRight w:val="0"/>
              <w:marTop w:val="0"/>
              <w:marBottom w:val="0"/>
              <w:divBdr>
                <w:top w:val="none" w:sz="0" w:space="0" w:color="auto"/>
                <w:left w:val="none" w:sz="0" w:space="0" w:color="auto"/>
                <w:bottom w:val="none" w:sz="0" w:space="0" w:color="auto"/>
                <w:right w:val="none" w:sz="0" w:space="0" w:color="auto"/>
              </w:divBdr>
              <w:divsChild>
                <w:div w:id="559245972">
                  <w:marLeft w:val="0"/>
                  <w:marRight w:val="0"/>
                  <w:marTop w:val="0"/>
                  <w:marBottom w:val="0"/>
                  <w:divBdr>
                    <w:top w:val="none" w:sz="0" w:space="0" w:color="auto"/>
                    <w:left w:val="none" w:sz="0" w:space="0" w:color="auto"/>
                    <w:bottom w:val="none" w:sz="0" w:space="0" w:color="auto"/>
                    <w:right w:val="none" w:sz="0" w:space="0" w:color="auto"/>
                  </w:divBdr>
                  <w:divsChild>
                    <w:div w:id="55924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967">
      <w:marLeft w:val="0"/>
      <w:marRight w:val="0"/>
      <w:marTop w:val="0"/>
      <w:marBottom w:val="0"/>
      <w:divBdr>
        <w:top w:val="none" w:sz="0" w:space="0" w:color="auto"/>
        <w:left w:val="none" w:sz="0" w:space="0" w:color="auto"/>
        <w:bottom w:val="none" w:sz="0" w:space="0" w:color="auto"/>
        <w:right w:val="none" w:sz="0" w:space="0" w:color="auto"/>
      </w:divBdr>
      <w:divsChild>
        <w:div w:id="559245946">
          <w:marLeft w:val="0"/>
          <w:marRight w:val="0"/>
          <w:marTop w:val="0"/>
          <w:marBottom w:val="0"/>
          <w:divBdr>
            <w:top w:val="none" w:sz="0" w:space="0" w:color="auto"/>
            <w:left w:val="none" w:sz="0" w:space="0" w:color="auto"/>
            <w:bottom w:val="none" w:sz="0" w:space="0" w:color="auto"/>
            <w:right w:val="none" w:sz="0" w:space="0" w:color="auto"/>
          </w:divBdr>
          <w:divsChild>
            <w:div w:id="559245947">
              <w:marLeft w:val="0"/>
              <w:marRight w:val="0"/>
              <w:marTop w:val="0"/>
              <w:marBottom w:val="0"/>
              <w:divBdr>
                <w:top w:val="none" w:sz="0" w:space="0" w:color="auto"/>
                <w:left w:val="none" w:sz="0" w:space="0" w:color="auto"/>
                <w:bottom w:val="none" w:sz="0" w:space="0" w:color="auto"/>
                <w:right w:val="none" w:sz="0" w:space="0" w:color="auto"/>
              </w:divBdr>
              <w:divsChild>
                <w:div w:id="559245951">
                  <w:marLeft w:val="0"/>
                  <w:marRight w:val="0"/>
                  <w:marTop w:val="0"/>
                  <w:marBottom w:val="0"/>
                  <w:divBdr>
                    <w:top w:val="none" w:sz="0" w:space="0" w:color="auto"/>
                    <w:left w:val="none" w:sz="0" w:space="0" w:color="auto"/>
                    <w:bottom w:val="none" w:sz="0" w:space="0" w:color="auto"/>
                    <w:right w:val="none" w:sz="0" w:space="0" w:color="auto"/>
                  </w:divBdr>
                  <w:divsChild>
                    <w:div w:id="55924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971">
      <w:marLeft w:val="0"/>
      <w:marRight w:val="0"/>
      <w:marTop w:val="0"/>
      <w:marBottom w:val="0"/>
      <w:divBdr>
        <w:top w:val="none" w:sz="0" w:space="0" w:color="auto"/>
        <w:left w:val="none" w:sz="0" w:space="0" w:color="auto"/>
        <w:bottom w:val="none" w:sz="0" w:space="0" w:color="auto"/>
        <w:right w:val="none" w:sz="0" w:space="0" w:color="auto"/>
      </w:divBdr>
    </w:div>
    <w:div w:id="559245975">
      <w:marLeft w:val="0"/>
      <w:marRight w:val="0"/>
      <w:marTop w:val="0"/>
      <w:marBottom w:val="0"/>
      <w:divBdr>
        <w:top w:val="none" w:sz="0" w:space="0" w:color="auto"/>
        <w:left w:val="none" w:sz="0" w:space="0" w:color="auto"/>
        <w:bottom w:val="none" w:sz="0" w:space="0" w:color="auto"/>
        <w:right w:val="none" w:sz="0" w:space="0" w:color="auto"/>
      </w:divBdr>
      <w:divsChild>
        <w:div w:id="559245931">
          <w:marLeft w:val="0"/>
          <w:marRight w:val="0"/>
          <w:marTop w:val="0"/>
          <w:marBottom w:val="0"/>
          <w:divBdr>
            <w:top w:val="none" w:sz="0" w:space="0" w:color="auto"/>
            <w:left w:val="none" w:sz="0" w:space="0" w:color="auto"/>
            <w:bottom w:val="none" w:sz="0" w:space="0" w:color="auto"/>
            <w:right w:val="none" w:sz="0" w:space="0" w:color="auto"/>
          </w:divBdr>
          <w:divsChild>
            <w:div w:id="559246014">
              <w:marLeft w:val="0"/>
              <w:marRight w:val="0"/>
              <w:marTop w:val="0"/>
              <w:marBottom w:val="0"/>
              <w:divBdr>
                <w:top w:val="none" w:sz="0" w:space="0" w:color="auto"/>
                <w:left w:val="none" w:sz="0" w:space="0" w:color="auto"/>
                <w:bottom w:val="none" w:sz="0" w:space="0" w:color="auto"/>
                <w:right w:val="none" w:sz="0" w:space="0" w:color="auto"/>
              </w:divBdr>
              <w:divsChild>
                <w:div w:id="559246016">
                  <w:marLeft w:val="0"/>
                  <w:marRight w:val="0"/>
                  <w:marTop w:val="0"/>
                  <w:marBottom w:val="0"/>
                  <w:divBdr>
                    <w:top w:val="none" w:sz="0" w:space="0" w:color="auto"/>
                    <w:left w:val="none" w:sz="0" w:space="0" w:color="auto"/>
                    <w:bottom w:val="none" w:sz="0" w:space="0" w:color="auto"/>
                    <w:right w:val="none" w:sz="0" w:space="0" w:color="auto"/>
                  </w:divBdr>
                  <w:divsChild>
                    <w:div w:id="5592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980">
      <w:marLeft w:val="0"/>
      <w:marRight w:val="0"/>
      <w:marTop w:val="0"/>
      <w:marBottom w:val="0"/>
      <w:divBdr>
        <w:top w:val="none" w:sz="0" w:space="0" w:color="auto"/>
        <w:left w:val="none" w:sz="0" w:space="0" w:color="auto"/>
        <w:bottom w:val="none" w:sz="0" w:space="0" w:color="auto"/>
        <w:right w:val="none" w:sz="0" w:space="0" w:color="auto"/>
      </w:divBdr>
      <w:divsChild>
        <w:div w:id="559245908">
          <w:marLeft w:val="0"/>
          <w:marRight w:val="0"/>
          <w:marTop w:val="0"/>
          <w:marBottom w:val="0"/>
          <w:divBdr>
            <w:top w:val="none" w:sz="0" w:space="0" w:color="auto"/>
            <w:left w:val="none" w:sz="0" w:space="0" w:color="auto"/>
            <w:bottom w:val="none" w:sz="0" w:space="0" w:color="auto"/>
            <w:right w:val="none" w:sz="0" w:space="0" w:color="auto"/>
          </w:divBdr>
          <w:divsChild>
            <w:div w:id="559245907">
              <w:marLeft w:val="0"/>
              <w:marRight w:val="0"/>
              <w:marTop w:val="0"/>
              <w:marBottom w:val="0"/>
              <w:divBdr>
                <w:top w:val="none" w:sz="0" w:space="0" w:color="auto"/>
                <w:left w:val="none" w:sz="0" w:space="0" w:color="auto"/>
                <w:bottom w:val="none" w:sz="0" w:space="0" w:color="auto"/>
                <w:right w:val="none" w:sz="0" w:space="0" w:color="auto"/>
              </w:divBdr>
              <w:divsChild>
                <w:div w:id="559245922">
                  <w:marLeft w:val="0"/>
                  <w:marRight w:val="0"/>
                  <w:marTop w:val="0"/>
                  <w:marBottom w:val="0"/>
                  <w:divBdr>
                    <w:top w:val="none" w:sz="0" w:space="0" w:color="auto"/>
                    <w:left w:val="none" w:sz="0" w:space="0" w:color="auto"/>
                    <w:bottom w:val="none" w:sz="0" w:space="0" w:color="auto"/>
                    <w:right w:val="none" w:sz="0" w:space="0" w:color="auto"/>
                  </w:divBdr>
                  <w:divsChild>
                    <w:div w:id="559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984">
      <w:marLeft w:val="0"/>
      <w:marRight w:val="0"/>
      <w:marTop w:val="0"/>
      <w:marBottom w:val="0"/>
      <w:divBdr>
        <w:top w:val="none" w:sz="0" w:space="0" w:color="auto"/>
        <w:left w:val="none" w:sz="0" w:space="0" w:color="auto"/>
        <w:bottom w:val="none" w:sz="0" w:space="0" w:color="auto"/>
        <w:right w:val="none" w:sz="0" w:space="0" w:color="auto"/>
      </w:divBdr>
    </w:div>
    <w:div w:id="559245986">
      <w:marLeft w:val="0"/>
      <w:marRight w:val="0"/>
      <w:marTop w:val="0"/>
      <w:marBottom w:val="0"/>
      <w:divBdr>
        <w:top w:val="none" w:sz="0" w:space="0" w:color="auto"/>
        <w:left w:val="none" w:sz="0" w:space="0" w:color="auto"/>
        <w:bottom w:val="none" w:sz="0" w:space="0" w:color="auto"/>
        <w:right w:val="none" w:sz="0" w:space="0" w:color="auto"/>
      </w:divBdr>
      <w:divsChild>
        <w:div w:id="559245928">
          <w:marLeft w:val="0"/>
          <w:marRight w:val="0"/>
          <w:marTop w:val="0"/>
          <w:marBottom w:val="0"/>
          <w:divBdr>
            <w:top w:val="none" w:sz="0" w:space="0" w:color="auto"/>
            <w:left w:val="none" w:sz="0" w:space="0" w:color="auto"/>
            <w:bottom w:val="none" w:sz="0" w:space="0" w:color="auto"/>
            <w:right w:val="none" w:sz="0" w:space="0" w:color="auto"/>
          </w:divBdr>
          <w:divsChild>
            <w:div w:id="559245917">
              <w:marLeft w:val="0"/>
              <w:marRight w:val="0"/>
              <w:marTop w:val="0"/>
              <w:marBottom w:val="0"/>
              <w:divBdr>
                <w:top w:val="none" w:sz="0" w:space="0" w:color="auto"/>
                <w:left w:val="none" w:sz="0" w:space="0" w:color="auto"/>
                <w:bottom w:val="none" w:sz="0" w:space="0" w:color="auto"/>
                <w:right w:val="none" w:sz="0" w:space="0" w:color="auto"/>
              </w:divBdr>
              <w:divsChild>
                <w:div w:id="559245985">
                  <w:marLeft w:val="0"/>
                  <w:marRight w:val="0"/>
                  <w:marTop w:val="0"/>
                  <w:marBottom w:val="0"/>
                  <w:divBdr>
                    <w:top w:val="none" w:sz="0" w:space="0" w:color="auto"/>
                    <w:left w:val="none" w:sz="0" w:space="0" w:color="auto"/>
                    <w:bottom w:val="none" w:sz="0" w:space="0" w:color="auto"/>
                    <w:right w:val="none" w:sz="0" w:space="0" w:color="auto"/>
                  </w:divBdr>
                </w:div>
                <w:div w:id="55924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5987">
      <w:marLeft w:val="0"/>
      <w:marRight w:val="0"/>
      <w:marTop w:val="0"/>
      <w:marBottom w:val="0"/>
      <w:divBdr>
        <w:top w:val="none" w:sz="0" w:space="0" w:color="auto"/>
        <w:left w:val="none" w:sz="0" w:space="0" w:color="auto"/>
        <w:bottom w:val="none" w:sz="0" w:space="0" w:color="auto"/>
        <w:right w:val="none" w:sz="0" w:space="0" w:color="auto"/>
      </w:divBdr>
      <w:divsChild>
        <w:div w:id="559245925">
          <w:marLeft w:val="0"/>
          <w:marRight w:val="0"/>
          <w:marTop w:val="0"/>
          <w:marBottom w:val="0"/>
          <w:divBdr>
            <w:top w:val="none" w:sz="0" w:space="0" w:color="auto"/>
            <w:left w:val="none" w:sz="0" w:space="0" w:color="auto"/>
            <w:bottom w:val="none" w:sz="0" w:space="0" w:color="auto"/>
            <w:right w:val="none" w:sz="0" w:space="0" w:color="auto"/>
          </w:divBdr>
          <w:divsChild>
            <w:div w:id="559245935">
              <w:marLeft w:val="0"/>
              <w:marRight w:val="0"/>
              <w:marTop w:val="0"/>
              <w:marBottom w:val="0"/>
              <w:divBdr>
                <w:top w:val="none" w:sz="0" w:space="0" w:color="auto"/>
                <w:left w:val="none" w:sz="0" w:space="0" w:color="auto"/>
                <w:bottom w:val="none" w:sz="0" w:space="0" w:color="auto"/>
                <w:right w:val="none" w:sz="0" w:space="0" w:color="auto"/>
              </w:divBdr>
              <w:divsChild>
                <w:div w:id="559245976">
                  <w:marLeft w:val="0"/>
                  <w:marRight w:val="0"/>
                  <w:marTop w:val="0"/>
                  <w:marBottom w:val="0"/>
                  <w:divBdr>
                    <w:top w:val="none" w:sz="0" w:space="0" w:color="auto"/>
                    <w:left w:val="none" w:sz="0" w:space="0" w:color="auto"/>
                    <w:bottom w:val="none" w:sz="0" w:space="0" w:color="auto"/>
                    <w:right w:val="none" w:sz="0" w:space="0" w:color="auto"/>
                  </w:divBdr>
                  <w:divsChild>
                    <w:div w:id="5592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990">
      <w:marLeft w:val="0"/>
      <w:marRight w:val="0"/>
      <w:marTop w:val="0"/>
      <w:marBottom w:val="0"/>
      <w:divBdr>
        <w:top w:val="none" w:sz="0" w:space="0" w:color="auto"/>
        <w:left w:val="none" w:sz="0" w:space="0" w:color="auto"/>
        <w:bottom w:val="none" w:sz="0" w:space="0" w:color="auto"/>
        <w:right w:val="none" w:sz="0" w:space="0" w:color="auto"/>
      </w:divBdr>
      <w:divsChild>
        <w:div w:id="559245988">
          <w:marLeft w:val="0"/>
          <w:marRight w:val="0"/>
          <w:marTop w:val="0"/>
          <w:marBottom w:val="0"/>
          <w:divBdr>
            <w:top w:val="none" w:sz="0" w:space="0" w:color="auto"/>
            <w:left w:val="none" w:sz="0" w:space="0" w:color="auto"/>
            <w:bottom w:val="none" w:sz="0" w:space="0" w:color="auto"/>
            <w:right w:val="none" w:sz="0" w:space="0" w:color="auto"/>
          </w:divBdr>
          <w:divsChild>
            <w:div w:id="559245899">
              <w:marLeft w:val="0"/>
              <w:marRight w:val="0"/>
              <w:marTop w:val="0"/>
              <w:marBottom w:val="0"/>
              <w:divBdr>
                <w:top w:val="none" w:sz="0" w:space="0" w:color="auto"/>
                <w:left w:val="none" w:sz="0" w:space="0" w:color="auto"/>
                <w:bottom w:val="none" w:sz="0" w:space="0" w:color="auto"/>
                <w:right w:val="none" w:sz="0" w:space="0" w:color="auto"/>
              </w:divBdr>
              <w:divsChild>
                <w:div w:id="559245981">
                  <w:marLeft w:val="0"/>
                  <w:marRight w:val="0"/>
                  <w:marTop w:val="0"/>
                  <w:marBottom w:val="0"/>
                  <w:divBdr>
                    <w:top w:val="none" w:sz="0" w:space="0" w:color="auto"/>
                    <w:left w:val="none" w:sz="0" w:space="0" w:color="auto"/>
                    <w:bottom w:val="none" w:sz="0" w:space="0" w:color="auto"/>
                    <w:right w:val="none" w:sz="0" w:space="0" w:color="auto"/>
                  </w:divBdr>
                  <w:divsChild>
                    <w:div w:id="55924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993">
      <w:marLeft w:val="0"/>
      <w:marRight w:val="0"/>
      <w:marTop w:val="0"/>
      <w:marBottom w:val="0"/>
      <w:divBdr>
        <w:top w:val="none" w:sz="0" w:space="0" w:color="auto"/>
        <w:left w:val="none" w:sz="0" w:space="0" w:color="auto"/>
        <w:bottom w:val="none" w:sz="0" w:space="0" w:color="auto"/>
        <w:right w:val="none" w:sz="0" w:space="0" w:color="auto"/>
      </w:divBdr>
      <w:divsChild>
        <w:div w:id="559246006">
          <w:marLeft w:val="0"/>
          <w:marRight w:val="0"/>
          <w:marTop w:val="0"/>
          <w:marBottom w:val="0"/>
          <w:divBdr>
            <w:top w:val="none" w:sz="0" w:space="0" w:color="auto"/>
            <w:left w:val="none" w:sz="0" w:space="0" w:color="auto"/>
            <w:bottom w:val="none" w:sz="0" w:space="0" w:color="auto"/>
            <w:right w:val="none" w:sz="0" w:space="0" w:color="auto"/>
          </w:divBdr>
          <w:divsChild>
            <w:div w:id="559245970">
              <w:marLeft w:val="0"/>
              <w:marRight w:val="0"/>
              <w:marTop w:val="0"/>
              <w:marBottom w:val="0"/>
              <w:divBdr>
                <w:top w:val="none" w:sz="0" w:space="0" w:color="auto"/>
                <w:left w:val="none" w:sz="0" w:space="0" w:color="auto"/>
                <w:bottom w:val="none" w:sz="0" w:space="0" w:color="auto"/>
                <w:right w:val="none" w:sz="0" w:space="0" w:color="auto"/>
              </w:divBdr>
              <w:divsChild>
                <w:div w:id="559245969">
                  <w:marLeft w:val="0"/>
                  <w:marRight w:val="0"/>
                  <w:marTop w:val="0"/>
                  <w:marBottom w:val="0"/>
                  <w:divBdr>
                    <w:top w:val="none" w:sz="0" w:space="0" w:color="auto"/>
                    <w:left w:val="none" w:sz="0" w:space="0" w:color="auto"/>
                    <w:bottom w:val="none" w:sz="0" w:space="0" w:color="auto"/>
                    <w:right w:val="none" w:sz="0" w:space="0" w:color="auto"/>
                  </w:divBdr>
                  <w:divsChild>
                    <w:div w:id="5592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996">
      <w:marLeft w:val="0"/>
      <w:marRight w:val="0"/>
      <w:marTop w:val="0"/>
      <w:marBottom w:val="0"/>
      <w:divBdr>
        <w:top w:val="none" w:sz="0" w:space="0" w:color="auto"/>
        <w:left w:val="none" w:sz="0" w:space="0" w:color="auto"/>
        <w:bottom w:val="none" w:sz="0" w:space="0" w:color="auto"/>
        <w:right w:val="none" w:sz="0" w:space="0" w:color="auto"/>
      </w:divBdr>
      <w:divsChild>
        <w:div w:id="559245888">
          <w:marLeft w:val="0"/>
          <w:marRight w:val="0"/>
          <w:marTop w:val="0"/>
          <w:marBottom w:val="0"/>
          <w:divBdr>
            <w:top w:val="none" w:sz="0" w:space="0" w:color="auto"/>
            <w:left w:val="none" w:sz="0" w:space="0" w:color="auto"/>
            <w:bottom w:val="none" w:sz="0" w:space="0" w:color="auto"/>
            <w:right w:val="none" w:sz="0" w:space="0" w:color="auto"/>
          </w:divBdr>
          <w:divsChild>
            <w:div w:id="559245921">
              <w:marLeft w:val="0"/>
              <w:marRight w:val="0"/>
              <w:marTop w:val="0"/>
              <w:marBottom w:val="0"/>
              <w:divBdr>
                <w:top w:val="none" w:sz="0" w:space="0" w:color="auto"/>
                <w:left w:val="none" w:sz="0" w:space="0" w:color="auto"/>
                <w:bottom w:val="none" w:sz="0" w:space="0" w:color="auto"/>
                <w:right w:val="none" w:sz="0" w:space="0" w:color="auto"/>
              </w:divBdr>
              <w:divsChild>
                <w:div w:id="559246020">
                  <w:marLeft w:val="0"/>
                  <w:marRight w:val="0"/>
                  <w:marTop w:val="0"/>
                  <w:marBottom w:val="0"/>
                  <w:divBdr>
                    <w:top w:val="none" w:sz="0" w:space="0" w:color="auto"/>
                    <w:left w:val="none" w:sz="0" w:space="0" w:color="auto"/>
                    <w:bottom w:val="none" w:sz="0" w:space="0" w:color="auto"/>
                    <w:right w:val="none" w:sz="0" w:space="0" w:color="auto"/>
                  </w:divBdr>
                  <w:divsChild>
                    <w:div w:id="5592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999">
      <w:marLeft w:val="0"/>
      <w:marRight w:val="0"/>
      <w:marTop w:val="0"/>
      <w:marBottom w:val="0"/>
      <w:divBdr>
        <w:top w:val="none" w:sz="0" w:space="0" w:color="auto"/>
        <w:left w:val="none" w:sz="0" w:space="0" w:color="auto"/>
        <w:bottom w:val="none" w:sz="0" w:space="0" w:color="auto"/>
        <w:right w:val="none" w:sz="0" w:space="0" w:color="auto"/>
      </w:divBdr>
      <w:divsChild>
        <w:div w:id="559245911">
          <w:marLeft w:val="0"/>
          <w:marRight w:val="0"/>
          <w:marTop w:val="0"/>
          <w:marBottom w:val="0"/>
          <w:divBdr>
            <w:top w:val="none" w:sz="0" w:space="0" w:color="auto"/>
            <w:left w:val="none" w:sz="0" w:space="0" w:color="auto"/>
            <w:bottom w:val="none" w:sz="0" w:space="0" w:color="auto"/>
            <w:right w:val="none" w:sz="0" w:space="0" w:color="auto"/>
          </w:divBdr>
          <w:divsChild>
            <w:div w:id="559246010">
              <w:marLeft w:val="0"/>
              <w:marRight w:val="0"/>
              <w:marTop w:val="0"/>
              <w:marBottom w:val="0"/>
              <w:divBdr>
                <w:top w:val="none" w:sz="0" w:space="0" w:color="auto"/>
                <w:left w:val="none" w:sz="0" w:space="0" w:color="auto"/>
                <w:bottom w:val="none" w:sz="0" w:space="0" w:color="auto"/>
                <w:right w:val="none" w:sz="0" w:space="0" w:color="auto"/>
              </w:divBdr>
              <w:divsChild>
                <w:div w:id="559246011">
                  <w:marLeft w:val="0"/>
                  <w:marRight w:val="0"/>
                  <w:marTop w:val="0"/>
                  <w:marBottom w:val="0"/>
                  <w:divBdr>
                    <w:top w:val="none" w:sz="0" w:space="0" w:color="auto"/>
                    <w:left w:val="none" w:sz="0" w:space="0" w:color="auto"/>
                    <w:bottom w:val="none" w:sz="0" w:space="0" w:color="auto"/>
                    <w:right w:val="none" w:sz="0" w:space="0" w:color="auto"/>
                  </w:divBdr>
                  <w:divsChild>
                    <w:div w:id="5592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6002">
      <w:marLeft w:val="0"/>
      <w:marRight w:val="0"/>
      <w:marTop w:val="0"/>
      <w:marBottom w:val="0"/>
      <w:divBdr>
        <w:top w:val="none" w:sz="0" w:space="0" w:color="auto"/>
        <w:left w:val="none" w:sz="0" w:space="0" w:color="auto"/>
        <w:bottom w:val="none" w:sz="0" w:space="0" w:color="auto"/>
        <w:right w:val="none" w:sz="0" w:space="0" w:color="auto"/>
      </w:divBdr>
      <w:divsChild>
        <w:div w:id="559246021">
          <w:marLeft w:val="0"/>
          <w:marRight w:val="0"/>
          <w:marTop w:val="0"/>
          <w:marBottom w:val="0"/>
          <w:divBdr>
            <w:top w:val="none" w:sz="0" w:space="0" w:color="auto"/>
            <w:left w:val="none" w:sz="0" w:space="0" w:color="auto"/>
            <w:bottom w:val="none" w:sz="0" w:space="0" w:color="auto"/>
            <w:right w:val="none" w:sz="0" w:space="0" w:color="auto"/>
          </w:divBdr>
          <w:divsChild>
            <w:div w:id="559246012">
              <w:marLeft w:val="0"/>
              <w:marRight w:val="0"/>
              <w:marTop w:val="0"/>
              <w:marBottom w:val="0"/>
              <w:divBdr>
                <w:top w:val="none" w:sz="0" w:space="0" w:color="auto"/>
                <w:left w:val="none" w:sz="0" w:space="0" w:color="auto"/>
                <w:bottom w:val="none" w:sz="0" w:space="0" w:color="auto"/>
                <w:right w:val="none" w:sz="0" w:space="0" w:color="auto"/>
              </w:divBdr>
              <w:divsChild>
                <w:div w:id="559245950">
                  <w:marLeft w:val="0"/>
                  <w:marRight w:val="0"/>
                  <w:marTop w:val="0"/>
                  <w:marBottom w:val="0"/>
                  <w:divBdr>
                    <w:top w:val="none" w:sz="0" w:space="0" w:color="auto"/>
                    <w:left w:val="none" w:sz="0" w:space="0" w:color="auto"/>
                    <w:bottom w:val="none" w:sz="0" w:space="0" w:color="auto"/>
                    <w:right w:val="none" w:sz="0" w:space="0" w:color="auto"/>
                  </w:divBdr>
                  <w:divsChild>
                    <w:div w:id="55924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6015">
      <w:marLeft w:val="0"/>
      <w:marRight w:val="0"/>
      <w:marTop w:val="0"/>
      <w:marBottom w:val="0"/>
      <w:divBdr>
        <w:top w:val="none" w:sz="0" w:space="0" w:color="auto"/>
        <w:left w:val="none" w:sz="0" w:space="0" w:color="auto"/>
        <w:bottom w:val="none" w:sz="0" w:space="0" w:color="auto"/>
        <w:right w:val="none" w:sz="0" w:space="0" w:color="auto"/>
      </w:divBdr>
      <w:divsChild>
        <w:div w:id="559245897">
          <w:marLeft w:val="0"/>
          <w:marRight w:val="0"/>
          <w:marTop w:val="0"/>
          <w:marBottom w:val="0"/>
          <w:divBdr>
            <w:top w:val="none" w:sz="0" w:space="0" w:color="auto"/>
            <w:left w:val="none" w:sz="0" w:space="0" w:color="auto"/>
            <w:bottom w:val="none" w:sz="0" w:space="0" w:color="auto"/>
            <w:right w:val="none" w:sz="0" w:space="0" w:color="auto"/>
          </w:divBdr>
          <w:divsChild>
            <w:div w:id="559245933">
              <w:marLeft w:val="0"/>
              <w:marRight w:val="0"/>
              <w:marTop w:val="0"/>
              <w:marBottom w:val="0"/>
              <w:divBdr>
                <w:top w:val="none" w:sz="0" w:space="0" w:color="auto"/>
                <w:left w:val="none" w:sz="0" w:space="0" w:color="auto"/>
                <w:bottom w:val="none" w:sz="0" w:space="0" w:color="auto"/>
                <w:right w:val="none" w:sz="0" w:space="0" w:color="auto"/>
              </w:divBdr>
              <w:divsChild>
                <w:div w:id="559245992">
                  <w:marLeft w:val="0"/>
                  <w:marRight w:val="0"/>
                  <w:marTop w:val="0"/>
                  <w:marBottom w:val="0"/>
                  <w:divBdr>
                    <w:top w:val="none" w:sz="0" w:space="0" w:color="auto"/>
                    <w:left w:val="none" w:sz="0" w:space="0" w:color="auto"/>
                    <w:bottom w:val="none" w:sz="0" w:space="0" w:color="auto"/>
                    <w:right w:val="none" w:sz="0" w:space="0" w:color="auto"/>
                  </w:divBdr>
                  <w:divsChild>
                    <w:div w:id="559246000">
                      <w:marLeft w:val="0"/>
                      <w:marRight w:val="0"/>
                      <w:marTop w:val="0"/>
                      <w:marBottom w:val="0"/>
                      <w:divBdr>
                        <w:top w:val="none" w:sz="0" w:space="0" w:color="auto"/>
                        <w:left w:val="none" w:sz="0" w:space="0" w:color="auto"/>
                        <w:bottom w:val="none" w:sz="0" w:space="0" w:color="auto"/>
                        <w:right w:val="none" w:sz="0" w:space="0" w:color="auto"/>
                      </w:divBdr>
                      <w:divsChild>
                        <w:div w:id="55924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99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ps.gov.uk/legal-guidance/honour-based-violence-and-forced-marriage" TargetMode="External"/><Relationship Id="rId18" Type="http://schemas.openxmlformats.org/officeDocument/2006/relationships/hyperlink" Target="https://www.app.college.police.uk/app-content/major-investigation-and-public-protection/domestic-abuse/" TargetMode="External"/><Relationship Id="rId26" Type="http://schemas.openxmlformats.org/officeDocument/2006/relationships/hyperlink" Target="https://www.app.college.police.uk/app-content/major-investigation-and-public-protection/female-genital-mutilation/" TargetMode="External"/><Relationship Id="rId39" Type="http://schemas.openxmlformats.org/officeDocument/2006/relationships/hyperlink" Target="https://www.cps.gov.uk/sites/default/files/documents/legal_guidance/expert_evidence_first_edition_2014.pdf" TargetMode="External"/><Relationship Id="rId21" Type="http://schemas.openxmlformats.org/officeDocument/2006/relationships/hyperlink" Target="http://scanmail.trustwave.com/?c=7089&amp;d=-aWh22b4Y4SDzyWdOskeoWuVXGu_JD5ju0TfBEooCA&amp;u=http%3a%2f%2fwww%2enpcc%2epolice%2euk%2fdocuments%2fPDF%20National%20Vulnerability%20Action%20Plan%20v1%2013Sep17%2epdf" TargetMode="External"/><Relationship Id="rId34" Type="http://schemas.openxmlformats.org/officeDocument/2006/relationships/hyperlink" Target="https://www.cps.gov.uk/publication/code-crown-prosecutors" TargetMode="External"/><Relationship Id="rId42" Type="http://schemas.openxmlformats.org/officeDocument/2006/relationships/hyperlink" Target="https://www.cps.gov.uk/publication/toolkit-prosecutors-violence-against-women-and-girls-cases-involving-vulnerable-victims" TargetMode="External"/><Relationship Id="rId47" Type="http://schemas.openxmlformats.org/officeDocument/2006/relationships/hyperlink" Target="https://www.cps.gov.uk/legal-guidance/speaking-witnesses-court"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v.uk/government/uploads/system/uploads/attachment_data/file/522166/VAWG_Strategy_FINAL_PUBLICATION_MASTER_vRB.PDF" TargetMode="External"/><Relationship Id="rId17" Type="http://schemas.openxmlformats.org/officeDocument/2006/relationships/hyperlink" Target="https://www.cps.gov.uk/legal-guidance/honour-based-violence-and-forced-marriage-guidance-identifying-and-flagging-cases" TargetMode="External"/><Relationship Id="rId25" Type="http://schemas.openxmlformats.org/officeDocument/2006/relationships/hyperlink" Target="https://www.cps.gov.uk/sites/default/files/documents/publications/fgm_protocol_cps_mps_2013.pdf" TargetMode="External"/><Relationship Id="rId33" Type="http://schemas.openxmlformats.org/officeDocument/2006/relationships/hyperlink" Target="https://www.cps.gov.uk/legal-guidance/charging-directors-guidance-2013-fifth-edition-may-2013-revised-arrangements" TargetMode="External"/><Relationship Id="rId38" Type="http://schemas.openxmlformats.org/officeDocument/2006/relationships/hyperlink" Target="https://www.cps.gov.uk/legal-guidance/domestic-abuse-guidelines-prosecutors" TargetMode="External"/><Relationship Id="rId46" Type="http://schemas.openxmlformats.org/officeDocument/2006/relationships/hyperlink" Target="https://www.cps.gov.uk/legal-guidance/honour-based-violence-and-forced-marriage" TargetMode="External"/><Relationship Id="rId2" Type="http://schemas.openxmlformats.org/officeDocument/2006/relationships/numbering" Target="numbering.xml"/><Relationship Id="rId16" Type="http://schemas.openxmlformats.org/officeDocument/2006/relationships/hyperlink" Target="https://www.cps.gov.uk/legal-guidance/honour-based-violence-and-forced-marriage" TargetMode="External"/><Relationship Id="rId20" Type="http://schemas.openxmlformats.org/officeDocument/2006/relationships/hyperlink" Target="https://www.cps.gov.uk/legal-guidance/honour-based-violence-and-forced-marriage" TargetMode="External"/><Relationship Id="rId29" Type="http://schemas.openxmlformats.org/officeDocument/2006/relationships/hyperlink" Target="https://www.cps.gov.uk/publication/toolkit-prosecutors-violence-against-women-and-girls-cases-involving-vulnerable-victims" TargetMode="External"/><Relationship Id="rId41" Type="http://schemas.openxmlformats.org/officeDocument/2006/relationships/hyperlink" Target="https://www.cps.gov.uk/legal-guidance/honour-based-violence-and-forced-marriag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png@01D3F266.607AE890" TargetMode="External"/><Relationship Id="rId24" Type="http://schemas.openxmlformats.org/officeDocument/2006/relationships/hyperlink" Target="https://www.cps.gov.uk/sites/default/files/documents/legal_guidance/best_evidence_in_criminal_proceedings.pdf" TargetMode="External"/><Relationship Id="rId32" Type="http://schemas.openxmlformats.org/officeDocument/2006/relationships/hyperlink" Target="https://www.cps.gov.uk/publication/domestic-abuse-charging-advice-sheet" TargetMode="External"/><Relationship Id="rId37" Type="http://schemas.openxmlformats.org/officeDocument/2006/relationships/hyperlink" Target="https://www.cps.gov.uk/legal-guidance/disclosure-manual" TargetMode="External"/><Relationship Id="rId40" Type="http://schemas.openxmlformats.org/officeDocument/2006/relationships/hyperlink" Target="https://www.cps.gov.uk/legal-guidance/victims-crime-code-practice-cps-legal-guidance" TargetMode="External"/><Relationship Id="rId45" Type="http://schemas.openxmlformats.org/officeDocument/2006/relationships/hyperlink" Target="https://www.gov.uk/guidance/domestic-violence-and-abuse" TargetMode="External"/><Relationship Id="rId53"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npcc.police.uk/Publication/Final%20NPCC%20HBA%20strategy%202015%202018December%202015.pdf" TargetMode="External"/><Relationship Id="rId23" Type="http://schemas.openxmlformats.org/officeDocument/2006/relationships/hyperlink" Target="https://www.cps.gov.uk/legal-guidance/social-media-guidelines-prosecuting-cases-involving-communications-sent-social-media" TargetMode="External"/><Relationship Id="rId28" Type="http://schemas.openxmlformats.org/officeDocument/2006/relationships/hyperlink" Target="https://www.cps.gov.uk/sites/default/files/documents/publications/npcc_cps_joint_evidence_gathering_checklist_2015.docm" TargetMode="External"/><Relationship Id="rId36" Type="http://schemas.openxmlformats.org/officeDocument/2006/relationships/hyperlink" Target="https://www.cps.gov.uk/legal-guidance/adult-conditional-cautions-directors-guidance" TargetMode="External"/><Relationship Id="rId49"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www.cps.gov.uk/legal-guidance/domestic-abuse-guidelines-prosecutors" TargetMode="External"/><Relationship Id="rId31" Type="http://schemas.openxmlformats.org/officeDocument/2006/relationships/hyperlink" Target="http://www.dashriskchecklist.co.uk/uploads/pdfs/DASH%202009.pdf" TargetMode="External"/><Relationship Id="rId44" Type="http://schemas.openxmlformats.org/officeDocument/2006/relationships/hyperlink" Target="https://www.cps.gov.uk/legal-guidance/domestic-abuse-guidelines-prosecutors" TargetMode="External"/><Relationship Id="rId52"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canmail.trustwave.com/?c=7089&amp;d=-aWh22b4Y4SDzyWdOskeoWuVXGu_JD5juxTeVBxzDA&amp;u=http%3a%2f%2fwww%2enpcc%2epolice%2euk%2fdocuments%2fhonour%2520based%2epdf" TargetMode="External"/><Relationship Id="rId22" Type="http://schemas.openxmlformats.org/officeDocument/2006/relationships/hyperlink" Target="https://www.cps.gov.uk/publication/toolkit-prosecutors-violence-against-women-and-girls-cases-involving-vulnerable-victims" TargetMode="External"/><Relationship Id="rId27" Type="http://schemas.openxmlformats.org/officeDocument/2006/relationships/hyperlink" Target="https://www.cps.gov.uk/legal-guidance/domestic-abuse-guidelines-prosecutors" TargetMode="External"/><Relationship Id="rId30" Type="http://schemas.openxmlformats.org/officeDocument/2006/relationships/hyperlink" Target="https://www.cps.gov.uk/legal-guidance/witness-protection-and-anonymity" TargetMode="External"/><Relationship Id="rId35" Type="http://schemas.openxmlformats.org/officeDocument/2006/relationships/hyperlink" Target="http://www.app.college.police.uk/app-content/major-investigation-and-public-protection/domestic-abuse/arrest-and-other-positive-approaches/" TargetMode="External"/><Relationship Id="rId43" Type="http://schemas.openxmlformats.org/officeDocument/2006/relationships/hyperlink" Target="https://www.cps.gov.uk/legal-guidance/interpreters"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cps.gov.uk/sites/default/files/documents/publications/cps_acpo_rape_protocol_v2-1.pdf" TargetMode="External"/><Relationship Id="rId3" Type="http://schemas.openxmlformats.org/officeDocument/2006/relationships/hyperlink" Target="https://www.cps.gov.uk/legal-guidance/controlling-or-coercive-behaviour-intimate-or-family-relationship" TargetMode="External"/><Relationship Id="rId7" Type="http://schemas.openxmlformats.org/officeDocument/2006/relationships/hyperlink" Target="https://www.app.college.police.uk/app-content/major-investigation-and-public-protection/domestic-abuse/" TargetMode="External"/><Relationship Id="rId2" Type="http://schemas.openxmlformats.org/officeDocument/2006/relationships/hyperlink" Target="https://www.cps.gov.uk/legal-guidance/controlling-or-coercive-behaviour-intimate-or-family-relationship" TargetMode="External"/><Relationship Id="rId1" Type="http://schemas.openxmlformats.org/officeDocument/2006/relationships/hyperlink" Target="http://www.ohchr.org/Documents/Issues/Women/15YearReviewofVAWMandate.pdf" TargetMode="External"/><Relationship Id="rId6" Type="http://schemas.openxmlformats.org/officeDocument/2006/relationships/hyperlink" Target="https://www.cps.gov.uk/legal-guidance/rape-and-sexual-offences" TargetMode="External"/><Relationship Id="rId5" Type="http://schemas.openxmlformats.org/officeDocument/2006/relationships/hyperlink" Target="https://www.cps.gov.uk/legal-guidance/domestic-abuse-guidelines-prosecutors" TargetMode="External"/><Relationship Id="rId4" Type="http://schemas.openxmlformats.org/officeDocument/2006/relationships/hyperlink" Target="https://www.cps.gov.uk/legal-guidance/domestic-abuse-guidelines-prosecutors" TargetMode="External"/><Relationship Id="rId9" Type="http://schemas.openxmlformats.org/officeDocument/2006/relationships/hyperlink" Target="https://www.gov.uk/apply-forced-marriage-protection-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31573-FF7C-4212-8661-EE2F85592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5500</Words>
  <Characters>33427</Characters>
  <Application>Microsoft Office Word</Application>
  <DocSecurity>0</DocSecurity>
  <Lines>278</Lines>
  <Paragraphs>77</Paragraphs>
  <ScaleCrop>false</ScaleCrop>
  <HeadingPairs>
    <vt:vector size="2" baseType="variant">
      <vt:variant>
        <vt:lpstr>Title</vt:lpstr>
      </vt:variant>
      <vt:variant>
        <vt:i4>1</vt:i4>
      </vt:variant>
    </vt:vector>
  </HeadingPairs>
  <TitlesOfParts>
    <vt:vector size="1" baseType="lpstr">
      <vt:lpstr>[INSERT NPCC LOGO]</vt:lpstr>
    </vt:vector>
  </TitlesOfParts>
  <Company>Crown Prosecution Service</Company>
  <LinksUpToDate>false</LinksUpToDate>
  <CharactersWithSpaces>38850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NPCC LOGO]</dc:title>
  <dc:creator>CPS</dc:creator>
  <cp:lastModifiedBy>CPS</cp:lastModifiedBy>
  <cp:revision>4</cp:revision>
  <cp:lastPrinted>2018-05-02T10:33:00Z</cp:lastPrinted>
  <dcterms:created xsi:type="dcterms:W3CDTF">2018-06-14T13:58:00Z</dcterms:created>
  <dcterms:modified xsi:type="dcterms:W3CDTF">2018-06-25T11:59:00Z</dcterms:modified>
</cp:coreProperties>
</file>