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79" w:rsidRDefault="00F65E2B" w:rsidP="008759E4">
      <w:pPr>
        <w:jc w:val="right"/>
      </w:pPr>
      <w:r>
        <w:rPr>
          <w:noProof/>
          <w:lang w:eastAsia="en-GB"/>
        </w:rPr>
        <w:drawing>
          <wp:anchor distT="0" distB="0" distL="114300" distR="114300" simplePos="0" relativeHeight="251657728" behindDoc="1" locked="0" layoutInCell="1" allowOverlap="1">
            <wp:simplePos x="0" y="0"/>
            <wp:positionH relativeFrom="column">
              <wp:posOffset>165735</wp:posOffset>
            </wp:positionH>
            <wp:positionV relativeFrom="paragraph">
              <wp:posOffset>339090</wp:posOffset>
            </wp:positionV>
            <wp:extent cx="2515235" cy="862330"/>
            <wp:effectExtent l="0" t="0" r="0" b="0"/>
            <wp:wrapThrough wrapText="bothSides">
              <wp:wrapPolygon edited="0">
                <wp:start x="0" y="0"/>
                <wp:lineTo x="0" y="20996"/>
                <wp:lineTo x="21431" y="20996"/>
                <wp:lineTo x="21431" y="0"/>
                <wp:lineTo x="0" y="0"/>
              </wp:wrapPolygon>
            </wp:wrapThrough>
            <wp:docPr id="3" name="Picture 2" descr="Description: Description: Description: NPCC-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NPCC-blue-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5235" cy="862330"/>
                    </a:xfrm>
                    <a:prstGeom prst="rect">
                      <a:avLst/>
                    </a:prstGeom>
                    <a:noFill/>
                  </pic:spPr>
                </pic:pic>
              </a:graphicData>
            </a:graphic>
          </wp:anchor>
        </w:drawing>
      </w:r>
    </w:p>
    <w:p w:rsidR="00586A79" w:rsidRDefault="00AB47D0" w:rsidP="008759E4">
      <w:pPr>
        <w:jc w:val="right"/>
      </w:pPr>
      <w:r>
        <w:rPr>
          <w:noProof/>
          <w:color w:val="1F497D"/>
          <w:lang w:eastAsia="en-GB"/>
        </w:rPr>
        <w:drawing>
          <wp:inline distT="0" distB="0" distL="0" distR="0" wp14:anchorId="777B9C75" wp14:editId="5C2E318F">
            <wp:extent cx="977722" cy="1282700"/>
            <wp:effectExtent l="0" t="0" r="0" b="0"/>
            <wp:docPr id="2" name="Picture 2" descr="cid:image001.png@01D3F266.607AE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266.607AE8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77722" cy="1282700"/>
                    </a:xfrm>
                    <a:prstGeom prst="rect">
                      <a:avLst/>
                    </a:prstGeom>
                    <a:noFill/>
                    <a:ln>
                      <a:noFill/>
                    </a:ln>
                  </pic:spPr>
                </pic:pic>
              </a:graphicData>
            </a:graphic>
          </wp:inline>
        </w:drawing>
      </w: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6725C7" w:rsidP="006725C7">
      <w:pPr>
        <w:tabs>
          <w:tab w:val="left" w:pos="6300"/>
          <w:tab w:val="right" w:pos="9026"/>
        </w:tabs>
      </w:pPr>
      <w:r>
        <w:tab/>
      </w:r>
      <w:r>
        <w:tab/>
      </w:r>
      <w:r w:rsidR="00586A79">
        <w:t xml:space="preserve"> </w:t>
      </w:r>
    </w:p>
    <w:p w:rsidR="00586A79" w:rsidRDefault="00586A79" w:rsidP="00664214">
      <w:pPr>
        <w:jc w:val="right"/>
      </w:pPr>
      <w:r>
        <w:t xml:space="preserve"> </w:t>
      </w:r>
      <w:r>
        <w:rPr>
          <w:b/>
          <w:bCs/>
          <w:sz w:val="52"/>
          <w:szCs w:val="52"/>
        </w:rPr>
        <w:t>Protocol on the handling of</w:t>
      </w:r>
      <w:r w:rsidR="003210B1">
        <w:rPr>
          <w:b/>
          <w:bCs/>
          <w:sz w:val="52"/>
          <w:szCs w:val="52"/>
        </w:rPr>
        <w:t xml:space="preserve"> </w:t>
      </w:r>
      <w:r w:rsidR="00B349A2">
        <w:rPr>
          <w:b/>
          <w:bCs/>
          <w:sz w:val="52"/>
          <w:szCs w:val="52"/>
        </w:rPr>
        <w:t>Female Genital Mutilation (FGM) offences</w:t>
      </w:r>
      <w:r>
        <w:rPr>
          <w:b/>
          <w:bCs/>
          <w:sz w:val="52"/>
          <w:szCs w:val="52"/>
        </w:rPr>
        <w:t xml:space="preserve"> between the National Police Chiefs’ Council</w:t>
      </w:r>
      <w:r w:rsidR="006F69A2">
        <w:rPr>
          <w:b/>
          <w:bCs/>
          <w:sz w:val="52"/>
          <w:szCs w:val="52"/>
        </w:rPr>
        <w:t xml:space="preserve"> and the Crown Prosecution Service</w:t>
      </w: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DA60CC">
      <w:pPr>
        <w:rPr>
          <w:rFonts w:ascii="Arial" w:hAnsi="Arial" w:cs="Arial"/>
        </w:rPr>
      </w:pPr>
    </w:p>
    <w:p w:rsidR="00586A79" w:rsidRDefault="00586A79" w:rsidP="00DA60CC">
      <w:pPr>
        <w:rPr>
          <w:rFonts w:ascii="Arial" w:hAnsi="Arial" w:cs="Arial"/>
          <w:b/>
        </w:rPr>
      </w:pPr>
      <w:r>
        <w:rPr>
          <w:rFonts w:ascii="Arial" w:hAnsi="Arial" w:cs="Arial"/>
          <w:b/>
        </w:rPr>
        <w:lastRenderedPageBreak/>
        <w:t>This protocol has been approved and authorised by:</w:t>
      </w:r>
    </w:p>
    <w:p w:rsidR="00586A79" w:rsidRDefault="00586A79" w:rsidP="00DA60CC">
      <w:pPr>
        <w:rPr>
          <w:rFonts w:ascii="Arial" w:hAnsi="Arial" w:cs="Arial"/>
          <w:b/>
        </w:rPr>
      </w:pPr>
    </w:p>
    <w:p w:rsidR="00586A79" w:rsidRDefault="00586A79" w:rsidP="00DA60CC">
      <w:pPr>
        <w:rPr>
          <w:rFonts w:ascii="Arial" w:hAnsi="Arial" w:cs="Arial"/>
          <w:b/>
        </w:rPr>
      </w:pPr>
    </w:p>
    <w:p w:rsidR="00586A79" w:rsidRDefault="00586A79" w:rsidP="00DA60CC">
      <w:pPr>
        <w:rPr>
          <w:rFonts w:ascii="Arial" w:hAnsi="Arial" w:cs="Arial"/>
          <w:b/>
        </w:rPr>
      </w:pPr>
    </w:p>
    <w:p w:rsidR="00586A79" w:rsidRDefault="00586A79" w:rsidP="00DA60CC">
      <w:pPr>
        <w:rPr>
          <w:rFonts w:ascii="Arial" w:hAnsi="Arial" w:cs="Arial"/>
          <w:b/>
        </w:rPr>
      </w:pPr>
      <w:r>
        <w:rPr>
          <w:rFonts w:ascii="Arial" w:hAnsi="Arial" w:cs="Arial"/>
          <w:b/>
        </w:rPr>
        <w:t>…………………………..</w:t>
      </w:r>
    </w:p>
    <w:p w:rsidR="00586A79" w:rsidRDefault="00586A79" w:rsidP="00DA60CC">
      <w:pPr>
        <w:rPr>
          <w:rFonts w:ascii="Arial" w:hAnsi="Arial" w:cs="Arial"/>
          <w:b/>
        </w:rPr>
      </w:pPr>
    </w:p>
    <w:p w:rsidR="00586A79" w:rsidRDefault="00586A79" w:rsidP="00DA60CC">
      <w:pPr>
        <w:rPr>
          <w:rFonts w:ascii="Arial" w:hAnsi="Arial" w:cs="Arial"/>
          <w:b/>
        </w:rPr>
      </w:pPr>
      <w:r>
        <w:rPr>
          <w:rFonts w:ascii="Arial" w:hAnsi="Arial" w:cs="Arial"/>
          <w:b/>
        </w:rPr>
        <w:t>Chief Police Officer [insert Police Area]</w:t>
      </w:r>
    </w:p>
    <w:p w:rsidR="00586A79" w:rsidRDefault="00586A79" w:rsidP="00DA60CC">
      <w:pPr>
        <w:rPr>
          <w:rFonts w:ascii="Arial" w:hAnsi="Arial" w:cs="Arial"/>
          <w:b/>
        </w:rPr>
      </w:pPr>
    </w:p>
    <w:p w:rsidR="00586A79" w:rsidRDefault="00586A79" w:rsidP="00DA60CC">
      <w:pPr>
        <w:rPr>
          <w:rFonts w:ascii="Arial" w:hAnsi="Arial" w:cs="Arial"/>
          <w:b/>
        </w:rPr>
      </w:pPr>
    </w:p>
    <w:p w:rsidR="00586A79" w:rsidRDefault="00586A79" w:rsidP="00DA60CC">
      <w:pPr>
        <w:rPr>
          <w:rFonts w:ascii="Arial" w:hAnsi="Arial" w:cs="Arial"/>
          <w:b/>
        </w:rPr>
      </w:pPr>
    </w:p>
    <w:p w:rsidR="00586A79" w:rsidRDefault="00586A79" w:rsidP="00DA60CC">
      <w:pPr>
        <w:rPr>
          <w:rFonts w:ascii="Arial" w:hAnsi="Arial" w:cs="Arial"/>
          <w:b/>
        </w:rPr>
      </w:pPr>
      <w:r>
        <w:rPr>
          <w:rFonts w:ascii="Arial" w:hAnsi="Arial" w:cs="Arial"/>
          <w:b/>
        </w:rPr>
        <w:t>…………………………..</w:t>
      </w:r>
    </w:p>
    <w:p w:rsidR="00586A79" w:rsidRDefault="00586A79" w:rsidP="00DA60CC">
      <w:pPr>
        <w:rPr>
          <w:rFonts w:ascii="Arial" w:hAnsi="Arial" w:cs="Arial"/>
          <w:b/>
        </w:rPr>
      </w:pPr>
    </w:p>
    <w:p w:rsidR="00586A79" w:rsidRPr="00DA60CC" w:rsidRDefault="00586A79" w:rsidP="00DA60CC">
      <w:pPr>
        <w:rPr>
          <w:rFonts w:ascii="Arial" w:hAnsi="Arial" w:cs="Arial"/>
          <w:b/>
        </w:rPr>
      </w:pPr>
      <w:r>
        <w:rPr>
          <w:rFonts w:ascii="Arial" w:hAnsi="Arial" w:cs="Arial"/>
          <w:b/>
        </w:rPr>
        <w:t>Chief Crown Prosecutor [insert CPS Area]</w:t>
      </w:r>
    </w:p>
    <w:p w:rsidR="00586A79" w:rsidRDefault="00586A79" w:rsidP="008759E4">
      <w:pPr>
        <w:jc w:val="right"/>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Pr="00A54FE8" w:rsidRDefault="00586A79" w:rsidP="008759E4">
      <w:pPr>
        <w:rPr>
          <w:rFonts w:ascii="Arial" w:hAnsi="Arial" w:cs="Arial"/>
          <w:b/>
          <w:sz w:val="28"/>
          <w:szCs w:val="28"/>
        </w:rPr>
      </w:pPr>
      <w:r w:rsidRPr="00A54FE8">
        <w:rPr>
          <w:rFonts w:ascii="Arial" w:hAnsi="Arial" w:cs="Arial"/>
          <w:b/>
          <w:sz w:val="28"/>
          <w:szCs w:val="28"/>
        </w:rPr>
        <w:lastRenderedPageBreak/>
        <w:t>Contents Page</w:t>
      </w:r>
    </w:p>
    <w:p w:rsidR="00586A79" w:rsidRDefault="00586A79" w:rsidP="008759E4">
      <w:pPr>
        <w:rPr>
          <w:rFonts w:ascii="Arial" w:hAnsi="Arial" w:cs="Arial"/>
          <w:b/>
        </w:rPr>
      </w:pPr>
    </w:p>
    <w:p w:rsidR="00586A79" w:rsidRDefault="008D04B0" w:rsidP="007247C5">
      <w:pPr>
        <w:pStyle w:val="Default"/>
        <w:rPr>
          <w:b/>
          <w:bCs/>
          <w:sz w:val="22"/>
          <w:szCs w:val="22"/>
        </w:rPr>
      </w:pPr>
      <w:hyperlink w:anchor="Section1" w:history="1">
        <w:r w:rsidR="00586A79" w:rsidRPr="00343CBA">
          <w:rPr>
            <w:rStyle w:val="Hyperlink"/>
            <w:rFonts w:cs="Arial"/>
            <w:b/>
            <w:bCs/>
            <w:sz w:val="22"/>
            <w:szCs w:val="22"/>
          </w:rPr>
          <w:t>SECTION 1 – PARTIES</w:t>
        </w:r>
      </w:hyperlink>
    </w:p>
    <w:p w:rsidR="00586A79" w:rsidRDefault="00586A79" w:rsidP="008759E4">
      <w:pPr>
        <w:rPr>
          <w:rFonts w:ascii="Arial" w:hAnsi="Arial" w:cs="Arial"/>
          <w:b/>
        </w:rPr>
      </w:pPr>
    </w:p>
    <w:p w:rsidR="00586A79" w:rsidRDefault="008D04B0" w:rsidP="007247C5">
      <w:pPr>
        <w:pStyle w:val="Default"/>
        <w:rPr>
          <w:b/>
          <w:bCs/>
          <w:sz w:val="22"/>
          <w:szCs w:val="22"/>
        </w:rPr>
      </w:pPr>
      <w:hyperlink w:anchor="Section2" w:history="1">
        <w:r w:rsidR="00586A79" w:rsidRPr="00343CBA">
          <w:rPr>
            <w:rStyle w:val="Hyperlink"/>
            <w:rFonts w:cs="Arial"/>
            <w:b/>
            <w:sz w:val="22"/>
            <w:szCs w:val="22"/>
          </w:rPr>
          <w:t xml:space="preserve">SECTION 2 </w:t>
        </w:r>
        <w:r w:rsidR="00586A79" w:rsidRPr="00343CBA">
          <w:rPr>
            <w:rStyle w:val="Hyperlink"/>
            <w:rFonts w:cs="Arial"/>
            <w:b/>
            <w:bCs/>
            <w:sz w:val="22"/>
            <w:szCs w:val="22"/>
          </w:rPr>
          <w:t>– INTRODUCTION AND SCOPE OF THE PROTOCOL</w:t>
        </w:r>
      </w:hyperlink>
      <w:r w:rsidR="00586A79" w:rsidRPr="00EA193D">
        <w:rPr>
          <w:b/>
          <w:bCs/>
          <w:sz w:val="22"/>
          <w:szCs w:val="22"/>
        </w:rPr>
        <w:t xml:space="preserve"> </w:t>
      </w:r>
    </w:p>
    <w:p w:rsidR="00586A79" w:rsidRDefault="00586A79" w:rsidP="007247C5">
      <w:pPr>
        <w:pStyle w:val="Default"/>
        <w:rPr>
          <w:b/>
          <w:bCs/>
          <w:sz w:val="22"/>
          <w:szCs w:val="22"/>
        </w:rPr>
      </w:pPr>
    </w:p>
    <w:p w:rsidR="00586A79" w:rsidRPr="00EA193D" w:rsidRDefault="008D04B0" w:rsidP="007247C5">
      <w:pPr>
        <w:pStyle w:val="Default"/>
        <w:rPr>
          <w:sz w:val="22"/>
          <w:szCs w:val="22"/>
        </w:rPr>
      </w:pPr>
      <w:hyperlink w:anchor="Section3" w:history="1">
        <w:r w:rsidR="00586A79" w:rsidRPr="00343CBA">
          <w:rPr>
            <w:rStyle w:val="Hyperlink"/>
            <w:rFonts w:cs="Arial"/>
            <w:b/>
            <w:bCs/>
            <w:sz w:val="22"/>
            <w:szCs w:val="22"/>
          </w:rPr>
          <w:t>SECTION 3 - BACKGROUND</w:t>
        </w:r>
      </w:hyperlink>
    </w:p>
    <w:p w:rsidR="00586A79" w:rsidRDefault="00586A79" w:rsidP="008759E4">
      <w:pPr>
        <w:rPr>
          <w:rFonts w:ascii="Arial" w:hAnsi="Arial" w:cs="Arial"/>
          <w:b/>
        </w:rPr>
      </w:pPr>
    </w:p>
    <w:p w:rsidR="00586A79" w:rsidRDefault="008D04B0" w:rsidP="008759E4">
      <w:pPr>
        <w:rPr>
          <w:rStyle w:val="Hyperlink"/>
          <w:rFonts w:ascii="Arial" w:hAnsi="Arial" w:cs="Arial"/>
          <w:b/>
          <w:bCs/>
        </w:rPr>
      </w:pPr>
      <w:hyperlink w:anchor="Section4" w:history="1">
        <w:r w:rsidR="00586A79" w:rsidRPr="00343CBA">
          <w:rPr>
            <w:rStyle w:val="Hyperlink"/>
            <w:rFonts w:ascii="Arial" w:hAnsi="Arial" w:cs="Arial"/>
            <w:b/>
            <w:bCs/>
          </w:rPr>
          <w:t>SECTION 4 – INVESTIGATION AND RISK ASSESSMENTS</w:t>
        </w:r>
      </w:hyperlink>
    </w:p>
    <w:p w:rsidR="004007F0" w:rsidRDefault="004007F0" w:rsidP="008759E4">
      <w:pPr>
        <w:rPr>
          <w:rStyle w:val="Hyperlink"/>
          <w:rFonts w:ascii="Arial" w:hAnsi="Arial" w:cs="Arial"/>
          <w:b/>
          <w:bCs/>
        </w:rPr>
      </w:pPr>
    </w:p>
    <w:p w:rsidR="004007F0" w:rsidRPr="004007F0" w:rsidRDefault="008D04B0" w:rsidP="008759E4">
      <w:pPr>
        <w:rPr>
          <w:rStyle w:val="Hyperlink"/>
          <w:rFonts w:ascii="Arial" w:hAnsi="Arial" w:cs="Arial"/>
          <w:b/>
          <w:bCs/>
        </w:rPr>
      </w:pPr>
      <w:hyperlink w:anchor="Section5" w:history="1">
        <w:r w:rsidR="004007F0" w:rsidRPr="00381C46">
          <w:rPr>
            <w:rStyle w:val="Hyperlink"/>
            <w:rFonts w:ascii="Arial" w:hAnsi="Arial" w:cs="Arial"/>
            <w:b/>
          </w:rPr>
          <w:t>SECTION 5 – INSTRUCTIONS FOR MEDICAL EXPERTS</w:t>
        </w:r>
      </w:hyperlink>
    </w:p>
    <w:p w:rsidR="003B3A8A" w:rsidRPr="00381C46" w:rsidRDefault="001A0737" w:rsidP="008759E4">
      <w:pPr>
        <w:rPr>
          <w:rStyle w:val="Hyperlink"/>
          <w:rFonts w:ascii="Arial" w:hAnsi="Arial" w:cs="Arial"/>
          <w:b/>
          <w:bCs/>
        </w:rPr>
      </w:pPr>
      <w:r>
        <w:rPr>
          <w:rFonts w:ascii="Arial" w:hAnsi="Arial" w:cs="Arial"/>
          <w:b/>
          <w:bCs/>
        </w:rPr>
        <w:fldChar w:fldCharType="begin"/>
      </w:r>
      <w:r w:rsidR="00381C46">
        <w:rPr>
          <w:rFonts w:ascii="Arial" w:hAnsi="Arial" w:cs="Arial"/>
          <w:b/>
          <w:bCs/>
        </w:rPr>
        <w:instrText xml:space="preserve"> HYPERLINK  \l "Section6" </w:instrText>
      </w:r>
      <w:r>
        <w:rPr>
          <w:rFonts w:ascii="Arial" w:hAnsi="Arial" w:cs="Arial"/>
          <w:b/>
          <w:bCs/>
        </w:rPr>
        <w:fldChar w:fldCharType="separate"/>
      </w:r>
    </w:p>
    <w:p w:rsidR="00586A79" w:rsidRPr="007E3CC1" w:rsidRDefault="007E3CC1" w:rsidP="008759E4">
      <w:pPr>
        <w:rPr>
          <w:rFonts w:ascii="Arial" w:hAnsi="Arial" w:cs="Arial"/>
          <w:b/>
          <w:bCs/>
        </w:rPr>
      </w:pPr>
      <w:r w:rsidRPr="00381C46">
        <w:rPr>
          <w:rStyle w:val="Hyperlink"/>
          <w:rFonts w:ascii="Arial" w:hAnsi="Arial" w:cs="Arial"/>
          <w:b/>
          <w:bCs/>
        </w:rPr>
        <w:t>SECTION 6 – REFERRAL, CHARGING AND DISCLOSURE</w:t>
      </w:r>
      <w:r w:rsidR="001A0737">
        <w:rPr>
          <w:rFonts w:ascii="Arial" w:hAnsi="Arial" w:cs="Arial"/>
          <w:b/>
          <w:bCs/>
        </w:rPr>
        <w:fldChar w:fldCharType="end"/>
      </w:r>
    </w:p>
    <w:p w:rsidR="007E3CC1" w:rsidRDefault="007E3CC1" w:rsidP="008759E4"/>
    <w:p w:rsidR="007E3CC1" w:rsidRDefault="008D04B0" w:rsidP="007E3CC1">
      <w:pPr>
        <w:rPr>
          <w:rStyle w:val="Hyperlink"/>
          <w:rFonts w:ascii="Arial" w:hAnsi="Arial" w:cs="Arial"/>
          <w:b/>
          <w:bCs/>
        </w:rPr>
      </w:pPr>
      <w:hyperlink w:anchor="Section7" w:history="1">
        <w:r w:rsidR="001150F1">
          <w:rPr>
            <w:rStyle w:val="Hyperlink"/>
            <w:rFonts w:ascii="Arial" w:hAnsi="Arial" w:cs="Arial"/>
            <w:b/>
            <w:bCs/>
          </w:rPr>
          <w:t xml:space="preserve">SECTION 7 – PROTECTION ORDERS </w:t>
        </w:r>
      </w:hyperlink>
    </w:p>
    <w:p w:rsidR="007E3CC1" w:rsidRDefault="007E3CC1" w:rsidP="008759E4">
      <w:pPr>
        <w:rPr>
          <w:rFonts w:ascii="Arial" w:hAnsi="Arial" w:cs="Arial"/>
          <w:b/>
          <w:bCs/>
        </w:rPr>
      </w:pPr>
    </w:p>
    <w:p w:rsidR="00586A79" w:rsidRDefault="008D04B0" w:rsidP="008759E4">
      <w:hyperlink w:anchor="Section8" w:history="1">
        <w:r w:rsidR="007E3CC1" w:rsidRPr="00381C46">
          <w:rPr>
            <w:rStyle w:val="Hyperlink"/>
            <w:rFonts w:ascii="Arial" w:hAnsi="Arial" w:cs="Arial"/>
            <w:b/>
            <w:bCs/>
          </w:rPr>
          <w:t xml:space="preserve">SECTION 8 - </w:t>
        </w:r>
        <w:r w:rsidR="00586A79" w:rsidRPr="00381C46">
          <w:rPr>
            <w:rStyle w:val="Hyperlink"/>
            <w:rFonts w:ascii="Arial" w:hAnsi="Arial" w:cs="Arial"/>
            <w:b/>
            <w:bCs/>
          </w:rPr>
          <w:t>CASE PREPARATION</w:t>
        </w:r>
      </w:hyperlink>
    </w:p>
    <w:p w:rsidR="00586A79" w:rsidRDefault="00586A79" w:rsidP="008759E4"/>
    <w:bookmarkStart w:id="0" w:name="Section8"/>
    <w:p w:rsidR="00586A79" w:rsidRPr="00006D50" w:rsidRDefault="00006D50" w:rsidP="008759E4">
      <w:pPr>
        <w:rPr>
          <w:rFonts w:ascii="Arial" w:hAnsi="Arial" w:cs="Arial"/>
          <w:b/>
        </w:rPr>
      </w:pPr>
      <w:r>
        <w:rPr>
          <w:rFonts w:ascii="Arial" w:hAnsi="Arial" w:cs="Arial"/>
          <w:b/>
        </w:rPr>
        <w:fldChar w:fldCharType="begin"/>
      </w:r>
      <w:r>
        <w:rPr>
          <w:rFonts w:ascii="Arial" w:hAnsi="Arial" w:cs="Arial"/>
          <w:b/>
        </w:rPr>
        <w:instrText xml:space="preserve"> HYPERLINK  \l "Section9" </w:instrText>
      </w:r>
      <w:r>
        <w:rPr>
          <w:rFonts w:ascii="Arial" w:hAnsi="Arial" w:cs="Arial"/>
          <w:b/>
        </w:rPr>
        <w:fldChar w:fldCharType="separate"/>
      </w:r>
      <w:r w:rsidR="00E57F6C" w:rsidRPr="00006D50">
        <w:rPr>
          <w:rStyle w:val="Hyperlink"/>
          <w:rFonts w:ascii="Arial" w:hAnsi="Arial" w:cs="Arial"/>
          <w:b/>
        </w:rPr>
        <w:t>SECTION 9 – VICTIM AND WITNESS</w:t>
      </w:r>
      <w:r w:rsidR="00E57F6C" w:rsidRPr="00006D50">
        <w:rPr>
          <w:rStyle w:val="Hyperlink"/>
          <w:rFonts w:ascii="Arial" w:hAnsi="Arial" w:cs="Arial"/>
          <w:b/>
          <w:bCs/>
        </w:rPr>
        <w:t xml:space="preserve"> CARE</w:t>
      </w:r>
      <w:r>
        <w:rPr>
          <w:rFonts w:ascii="Arial" w:hAnsi="Arial" w:cs="Arial"/>
          <w:b/>
        </w:rPr>
        <w:fldChar w:fldCharType="end"/>
      </w:r>
    </w:p>
    <w:bookmarkEnd w:id="0"/>
    <w:p w:rsidR="00586A79" w:rsidRDefault="00586A79" w:rsidP="008759E4"/>
    <w:p w:rsidR="00586A79" w:rsidRPr="007247C5" w:rsidRDefault="008D04B0" w:rsidP="008759E4">
      <w:pPr>
        <w:rPr>
          <w:rFonts w:ascii="Arial" w:hAnsi="Arial" w:cs="Arial"/>
        </w:rPr>
      </w:pPr>
      <w:hyperlink w:anchor="Section10" w:history="1">
        <w:r w:rsidR="00586A79" w:rsidRPr="00381C46">
          <w:rPr>
            <w:rStyle w:val="Hyperlink"/>
            <w:rFonts w:ascii="Arial" w:hAnsi="Arial" w:cs="Arial"/>
            <w:b/>
            <w:bCs/>
          </w:rPr>
          <w:t xml:space="preserve">SECTION </w:t>
        </w:r>
        <w:r w:rsidR="007E3CC1" w:rsidRPr="00381C46">
          <w:rPr>
            <w:rStyle w:val="Hyperlink"/>
            <w:rFonts w:ascii="Arial" w:hAnsi="Arial" w:cs="Arial"/>
            <w:b/>
            <w:bCs/>
          </w:rPr>
          <w:t>10</w:t>
        </w:r>
        <w:r w:rsidR="00586A79" w:rsidRPr="00381C46">
          <w:rPr>
            <w:rStyle w:val="Hyperlink"/>
            <w:rFonts w:ascii="Arial" w:hAnsi="Arial" w:cs="Arial"/>
            <w:b/>
            <w:bCs/>
          </w:rPr>
          <w:t xml:space="preserve"> – TRIAL</w:t>
        </w:r>
      </w:hyperlink>
      <w:r w:rsidR="00586A79" w:rsidRPr="00D1594F">
        <w:rPr>
          <w:rFonts w:ascii="Arial" w:hAnsi="Arial" w:cs="Arial"/>
          <w:b/>
          <w:bCs/>
        </w:rPr>
        <w:t xml:space="preserve"> </w:t>
      </w:r>
    </w:p>
    <w:p w:rsidR="003B3A8A" w:rsidRDefault="003B3A8A" w:rsidP="008759E4">
      <w:pPr>
        <w:rPr>
          <w:rStyle w:val="Hyperlink"/>
          <w:rFonts w:ascii="Arial" w:hAnsi="Arial" w:cs="Arial"/>
          <w:b/>
          <w:bCs/>
        </w:rPr>
      </w:pPr>
    </w:p>
    <w:p w:rsidR="00586A79" w:rsidRDefault="008D04B0" w:rsidP="008759E4">
      <w:hyperlink w:anchor="Section11" w:history="1">
        <w:r w:rsidR="00586A79" w:rsidRPr="00381C46">
          <w:rPr>
            <w:rStyle w:val="Hyperlink"/>
            <w:rFonts w:ascii="Arial" w:hAnsi="Arial" w:cs="Arial"/>
            <w:b/>
            <w:bCs/>
          </w:rPr>
          <w:t>SECTION 1</w:t>
        </w:r>
        <w:r w:rsidR="007E3CC1" w:rsidRPr="00381C46">
          <w:rPr>
            <w:rStyle w:val="Hyperlink"/>
            <w:rFonts w:ascii="Arial" w:hAnsi="Arial" w:cs="Arial"/>
            <w:b/>
            <w:bCs/>
          </w:rPr>
          <w:t>1</w:t>
        </w:r>
        <w:r w:rsidR="00586A79" w:rsidRPr="00381C46">
          <w:rPr>
            <w:rStyle w:val="Hyperlink"/>
            <w:rFonts w:ascii="Arial" w:hAnsi="Arial" w:cs="Arial"/>
            <w:b/>
            <w:bCs/>
          </w:rPr>
          <w:t xml:space="preserve"> – SHARING LESSONS LEARNT</w:t>
        </w:r>
      </w:hyperlink>
    </w:p>
    <w:p w:rsidR="00586A79" w:rsidRPr="00381C46" w:rsidRDefault="001A0737" w:rsidP="008759E4">
      <w:pPr>
        <w:rPr>
          <w:rStyle w:val="Hyperlink"/>
        </w:rPr>
      </w:pPr>
      <w:r>
        <w:rPr>
          <w:rFonts w:ascii="Arial" w:hAnsi="Arial" w:cs="Arial"/>
          <w:b/>
          <w:bCs/>
        </w:rPr>
        <w:fldChar w:fldCharType="begin"/>
      </w:r>
      <w:r w:rsidR="00381C46">
        <w:rPr>
          <w:rFonts w:ascii="Arial" w:hAnsi="Arial" w:cs="Arial"/>
          <w:b/>
          <w:bCs/>
        </w:rPr>
        <w:instrText xml:space="preserve"> HYPERLINK  \l "Section12" </w:instrText>
      </w:r>
      <w:r>
        <w:rPr>
          <w:rFonts w:ascii="Arial" w:hAnsi="Arial" w:cs="Arial"/>
          <w:b/>
          <w:bCs/>
        </w:rPr>
        <w:fldChar w:fldCharType="separate"/>
      </w:r>
    </w:p>
    <w:p w:rsidR="00586A79" w:rsidRPr="00417EEF" w:rsidRDefault="00586A79" w:rsidP="003F111E">
      <w:pPr>
        <w:rPr>
          <w:rFonts w:ascii="Arial" w:hAnsi="Arial" w:cs="Arial"/>
        </w:rPr>
      </w:pPr>
      <w:r w:rsidRPr="00381C46">
        <w:rPr>
          <w:rStyle w:val="Hyperlink"/>
          <w:rFonts w:ascii="Arial" w:hAnsi="Arial" w:cs="Arial"/>
          <w:b/>
          <w:bCs/>
        </w:rPr>
        <w:t>SECTION 1</w:t>
      </w:r>
      <w:r w:rsidR="007E3CC1" w:rsidRPr="00381C46">
        <w:rPr>
          <w:rStyle w:val="Hyperlink"/>
          <w:rFonts w:ascii="Arial" w:hAnsi="Arial" w:cs="Arial"/>
          <w:b/>
          <w:bCs/>
        </w:rPr>
        <w:t>2</w:t>
      </w:r>
      <w:r w:rsidRPr="00381C46">
        <w:rPr>
          <w:rStyle w:val="Hyperlink"/>
          <w:rFonts w:ascii="Arial" w:hAnsi="Arial" w:cs="Arial"/>
          <w:b/>
          <w:bCs/>
        </w:rPr>
        <w:t xml:space="preserve"> – SIGNATORIES</w:t>
      </w:r>
      <w:r w:rsidR="001A0737">
        <w:rPr>
          <w:rFonts w:ascii="Arial" w:hAnsi="Arial" w:cs="Arial"/>
          <w:b/>
          <w:bCs/>
        </w:rPr>
        <w:fldChar w:fldCharType="end"/>
      </w:r>
      <w:r w:rsidRPr="00417EEF">
        <w:rPr>
          <w:rFonts w:ascii="Arial" w:hAnsi="Arial" w:cs="Arial"/>
          <w:b/>
          <w:bCs/>
        </w:rPr>
        <w:t xml:space="preserve"> </w:t>
      </w:r>
    </w:p>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0936AF">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Pr="00EA56BB" w:rsidRDefault="00586A79" w:rsidP="007247C5">
      <w:pPr>
        <w:pStyle w:val="Default"/>
        <w:rPr>
          <w:b/>
          <w:bCs/>
          <w:sz w:val="22"/>
          <w:szCs w:val="22"/>
        </w:rPr>
      </w:pPr>
      <w:bookmarkStart w:id="1" w:name="Section1"/>
      <w:r w:rsidRPr="00EA56BB">
        <w:rPr>
          <w:b/>
          <w:bCs/>
          <w:sz w:val="22"/>
          <w:szCs w:val="22"/>
        </w:rPr>
        <w:t>1. SECTION 1 – PARTIES</w:t>
      </w:r>
    </w:p>
    <w:bookmarkEnd w:id="1"/>
    <w:p w:rsidR="00586A79" w:rsidRPr="00EA56BB" w:rsidRDefault="00586A79" w:rsidP="00EA193D">
      <w:pPr>
        <w:pStyle w:val="Default"/>
        <w:rPr>
          <w:b/>
          <w:bCs/>
          <w:sz w:val="22"/>
          <w:szCs w:val="22"/>
        </w:rPr>
      </w:pPr>
    </w:p>
    <w:p w:rsidR="00586A79" w:rsidRPr="00EA56BB" w:rsidRDefault="00052ACC" w:rsidP="007E1DD9">
      <w:pPr>
        <w:pStyle w:val="Default"/>
        <w:numPr>
          <w:ilvl w:val="1"/>
          <w:numId w:val="38"/>
        </w:numPr>
        <w:rPr>
          <w:sz w:val="22"/>
          <w:szCs w:val="22"/>
        </w:rPr>
      </w:pPr>
      <w:r w:rsidRPr="00EA56BB">
        <w:rPr>
          <w:sz w:val="22"/>
          <w:szCs w:val="22"/>
        </w:rPr>
        <w:t>The Parties to this Protocol are XXXX Police and the XXXX Crown Prosecution Service (CPS).</w:t>
      </w:r>
    </w:p>
    <w:p w:rsidR="007E1DD9" w:rsidRPr="00EA56BB" w:rsidRDefault="007E1DD9" w:rsidP="007E1DD9">
      <w:pPr>
        <w:pStyle w:val="Default"/>
        <w:rPr>
          <w:sz w:val="22"/>
          <w:szCs w:val="22"/>
        </w:rPr>
      </w:pPr>
    </w:p>
    <w:p w:rsidR="007E1DD9" w:rsidRPr="00EA56BB" w:rsidRDefault="007E1DD9" w:rsidP="007E1DD9">
      <w:pPr>
        <w:pStyle w:val="Default"/>
        <w:rPr>
          <w:b/>
          <w:bCs/>
          <w:sz w:val="22"/>
          <w:szCs w:val="22"/>
        </w:rPr>
      </w:pPr>
      <w:r w:rsidRPr="00EA56BB">
        <w:rPr>
          <w:sz w:val="22"/>
          <w:szCs w:val="22"/>
        </w:rPr>
        <w:t xml:space="preserve">1.2 The successful prosecution of these cases and safeguarding of those </w:t>
      </w:r>
      <w:r w:rsidR="007C2F6E">
        <w:rPr>
          <w:sz w:val="22"/>
          <w:szCs w:val="22"/>
        </w:rPr>
        <w:t>victim</w:t>
      </w:r>
      <w:r w:rsidRPr="00EA56BB">
        <w:rPr>
          <w:sz w:val="22"/>
          <w:szCs w:val="22"/>
        </w:rPr>
        <w:t xml:space="preserve">s involved; relies on strong and collaborative partnership working between the police and prosecutors.  The police will be proactive in collating all relevant evidence and the CPS will be clear and informative about what (if any) further evidence is needed. </w:t>
      </w:r>
    </w:p>
    <w:p w:rsidR="00586A79" w:rsidRPr="00EA56BB" w:rsidRDefault="00586A79" w:rsidP="00EA193D">
      <w:pPr>
        <w:pStyle w:val="Default"/>
        <w:rPr>
          <w:b/>
          <w:sz w:val="22"/>
          <w:szCs w:val="22"/>
        </w:rPr>
      </w:pPr>
    </w:p>
    <w:p w:rsidR="00586A79" w:rsidRPr="00EA56BB" w:rsidRDefault="00586A79" w:rsidP="00EA193D">
      <w:pPr>
        <w:pStyle w:val="Default"/>
        <w:rPr>
          <w:sz w:val="22"/>
          <w:szCs w:val="22"/>
        </w:rPr>
      </w:pPr>
      <w:bookmarkStart w:id="2" w:name="Section2"/>
      <w:r w:rsidRPr="00EA56BB">
        <w:rPr>
          <w:b/>
          <w:sz w:val="22"/>
          <w:szCs w:val="22"/>
        </w:rPr>
        <w:t xml:space="preserve">2. SECTION 2 </w:t>
      </w:r>
      <w:r w:rsidRPr="00EA56BB">
        <w:rPr>
          <w:b/>
          <w:bCs/>
          <w:sz w:val="22"/>
          <w:szCs w:val="22"/>
        </w:rPr>
        <w:t xml:space="preserve">– INTRODUCTION AND SCOPE OF THE PROTOCOL </w:t>
      </w:r>
    </w:p>
    <w:bookmarkEnd w:id="2"/>
    <w:p w:rsidR="00586A79" w:rsidRPr="00EA56BB" w:rsidRDefault="00586A79" w:rsidP="000936AF">
      <w:pPr>
        <w:pStyle w:val="Default"/>
        <w:rPr>
          <w:sz w:val="22"/>
          <w:szCs w:val="22"/>
        </w:rPr>
      </w:pPr>
    </w:p>
    <w:p w:rsidR="00586A79" w:rsidRPr="00EA56BB" w:rsidRDefault="00586A79" w:rsidP="002A6676">
      <w:pPr>
        <w:pStyle w:val="Default"/>
        <w:rPr>
          <w:sz w:val="22"/>
          <w:szCs w:val="22"/>
        </w:rPr>
      </w:pPr>
      <w:r w:rsidRPr="00EA56BB">
        <w:rPr>
          <w:sz w:val="22"/>
          <w:szCs w:val="22"/>
        </w:rPr>
        <w:t xml:space="preserve">2.1 The commitment to end </w:t>
      </w:r>
      <w:r w:rsidR="00953268" w:rsidRPr="00EA56BB">
        <w:rPr>
          <w:sz w:val="22"/>
          <w:szCs w:val="22"/>
        </w:rPr>
        <w:t>Female Genital Mutilation (FGM)</w:t>
      </w:r>
      <w:r w:rsidRPr="00EA56BB">
        <w:rPr>
          <w:sz w:val="22"/>
          <w:szCs w:val="22"/>
        </w:rPr>
        <w:t xml:space="preserve"> is embedded in the cross-government </w:t>
      </w:r>
      <w:hyperlink r:id="rId12" w:history="1">
        <w:r w:rsidRPr="00EA56BB">
          <w:rPr>
            <w:rStyle w:val="Hyperlink"/>
            <w:rFonts w:cs="Arial"/>
            <w:sz w:val="22"/>
            <w:szCs w:val="22"/>
          </w:rPr>
          <w:t>Ending Violence against Women and Girls (VAWG) Strategy: 2016 to 2020</w:t>
        </w:r>
      </w:hyperlink>
      <w:r w:rsidRPr="00EA56BB">
        <w:rPr>
          <w:sz w:val="22"/>
          <w:szCs w:val="22"/>
        </w:rPr>
        <w:t xml:space="preserve">.  The strategy is underpinned by effective partnership working at both a local and national level.  </w:t>
      </w:r>
    </w:p>
    <w:p w:rsidR="00586A79" w:rsidRPr="00EA56BB" w:rsidRDefault="00586A79" w:rsidP="002A6676">
      <w:pPr>
        <w:pStyle w:val="Default"/>
        <w:rPr>
          <w:sz w:val="22"/>
          <w:szCs w:val="22"/>
        </w:rPr>
      </w:pPr>
      <w:r w:rsidRPr="00EA56BB">
        <w:rPr>
          <w:sz w:val="22"/>
          <w:szCs w:val="22"/>
        </w:rPr>
        <w:t xml:space="preserve"> </w:t>
      </w:r>
    </w:p>
    <w:p w:rsidR="00586A79" w:rsidRPr="00EA56BB" w:rsidRDefault="00953268" w:rsidP="002A6676">
      <w:pPr>
        <w:pStyle w:val="Default"/>
        <w:rPr>
          <w:color w:val="FF0000"/>
          <w:sz w:val="22"/>
          <w:szCs w:val="22"/>
        </w:rPr>
      </w:pPr>
      <w:r w:rsidRPr="00EA56BB">
        <w:rPr>
          <w:sz w:val="22"/>
          <w:szCs w:val="22"/>
        </w:rPr>
        <w:t>2.2 The VAWG approach</w:t>
      </w:r>
      <w:r w:rsidR="00586A79" w:rsidRPr="00EA56BB">
        <w:rPr>
          <w:sz w:val="22"/>
          <w:szCs w:val="22"/>
        </w:rPr>
        <w:t xml:space="preserve"> acknowledges VAWG as a fundamental abuse of human rights and women’s rights</w:t>
      </w:r>
      <w:r w:rsidR="001B5786" w:rsidRPr="00EA56BB">
        <w:rPr>
          <w:rStyle w:val="FootnoteReference"/>
          <w:rFonts w:cs="Arial"/>
          <w:sz w:val="22"/>
          <w:szCs w:val="22"/>
        </w:rPr>
        <w:footnoteReference w:id="1"/>
      </w:r>
      <w:r w:rsidR="00586A79" w:rsidRPr="00EA56BB">
        <w:rPr>
          <w:sz w:val="22"/>
          <w:szCs w:val="22"/>
        </w:rPr>
        <w:t>.</w:t>
      </w:r>
      <w:r w:rsidR="00325DC7" w:rsidRPr="00EA56BB">
        <w:rPr>
          <w:sz w:val="22"/>
          <w:szCs w:val="22"/>
        </w:rPr>
        <w:t xml:space="preserve">  The UK government has signed and ratified the United Nations call to all states to prevent and respond to violence against women</w:t>
      </w:r>
      <w:r w:rsidR="00325DC7" w:rsidRPr="00EA56BB">
        <w:rPr>
          <w:rStyle w:val="FootnoteReference"/>
          <w:rFonts w:cs="Arial"/>
          <w:sz w:val="22"/>
          <w:szCs w:val="22"/>
        </w:rPr>
        <w:footnoteReference w:id="2"/>
      </w:r>
      <w:r w:rsidR="00325DC7" w:rsidRPr="00EA56BB">
        <w:rPr>
          <w:sz w:val="22"/>
          <w:szCs w:val="22"/>
        </w:rPr>
        <w:t xml:space="preserve">. </w:t>
      </w:r>
      <w:r w:rsidR="00586A79" w:rsidRPr="00EA56BB">
        <w:rPr>
          <w:sz w:val="22"/>
          <w:szCs w:val="22"/>
        </w:rPr>
        <w:t xml:space="preserve">  </w:t>
      </w:r>
    </w:p>
    <w:p w:rsidR="00586A79" w:rsidRPr="00EA56BB" w:rsidRDefault="00586A79" w:rsidP="000936AF">
      <w:pPr>
        <w:pStyle w:val="Default"/>
        <w:rPr>
          <w:sz w:val="22"/>
          <w:szCs w:val="22"/>
        </w:rPr>
      </w:pPr>
    </w:p>
    <w:p w:rsidR="00050B1A" w:rsidRDefault="00586A79" w:rsidP="000936AF">
      <w:pPr>
        <w:pStyle w:val="Default"/>
        <w:rPr>
          <w:sz w:val="22"/>
          <w:szCs w:val="22"/>
        </w:rPr>
      </w:pPr>
      <w:r w:rsidRPr="00EA56BB">
        <w:rPr>
          <w:sz w:val="22"/>
          <w:szCs w:val="22"/>
        </w:rPr>
        <w:t xml:space="preserve">2.3 Chief Constables who are members of the National Police Chiefs’ Council (NPCC) have overall responsibility for the investigation of alleged criminal activity in their individual force area.  </w:t>
      </w:r>
      <w:r w:rsidR="00D47AE7" w:rsidRPr="00F34359">
        <w:rPr>
          <w:sz w:val="22"/>
          <w:szCs w:val="22"/>
        </w:rPr>
        <w:t xml:space="preserve">The NPCCs </w:t>
      </w:r>
      <w:hyperlink r:id="rId13" w:history="1">
        <w:r w:rsidR="00D47AE7">
          <w:rPr>
            <w:rStyle w:val="Hyperlink"/>
            <w:rFonts w:cs="Arial"/>
          </w:rPr>
          <w:t>National HBA Delivery Plan</w:t>
        </w:r>
      </w:hyperlink>
      <w:r w:rsidR="00D47AE7" w:rsidRPr="00F34359">
        <w:rPr>
          <w:color w:val="1F497D"/>
        </w:rPr>
        <w:t xml:space="preserve"> </w:t>
      </w:r>
      <w:r w:rsidR="00D47AE7" w:rsidRPr="00F34359">
        <w:rPr>
          <w:sz w:val="22"/>
          <w:szCs w:val="22"/>
        </w:rPr>
        <w:t>states that the police service’s vision remains nothing less than the total eradication of HBA (which includes Violence), FM and FGM.</w:t>
      </w:r>
    </w:p>
    <w:p w:rsidR="00050B1A" w:rsidRPr="00EA56BB" w:rsidRDefault="00050B1A" w:rsidP="000936AF">
      <w:pPr>
        <w:pStyle w:val="Default"/>
        <w:rPr>
          <w:sz w:val="22"/>
          <w:szCs w:val="22"/>
        </w:rPr>
      </w:pPr>
    </w:p>
    <w:p w:rsidR="00586A79" w:rsidRPr="00EA56BB" w:rsidRDefault="00586A79" w:rsidP="00343CBA">
      <w:pPr>
        <w:pStyle w:val="Default"/>
        <w:rPr>
          <w:sz w:val="22"/>
          <w:szCs w:val="22"/>
          <w:lang w:eastAsia="en-GB"/>
        </w:rPr>
      </w:pPr>
      <w:r w:rsidRPr="00EA56BB">
        <w:rPr>
          <w:sz w:val="22"/>
          <w:szCs w:val="22"/>
        </w:rPr>
        <w:t xml:space="preserve">2.4 The CPS is the principal prosecuting authority dealing with criminal prosecutions in England and Wales.  </w:t>
      </w:r>
    </w:p>
    <w:p w:rsidR="00A224A4" w:rsidRPr="00EA56BB" w:rsidRDefault="00A224A4" w:rsidP="00343CBA">
      <w:pPr>
        <w:pStyle w:val="Default"/>
        <w:rPr>
          <w:color w:val="000000" w:themeColor="text1"/>
          <w:sz w:val="22"/>
          <w:szCs w:val="22"/>
          <w:lang w:eastAsia="en-GB"/>
        </w:rPr>
      </w:pPr>
    </w:p>
    <w:p w:rsidR="00282DAF" w:rsidRPr="00EA56BB" w:rsidRDefault="00586A79" w:rsidP="00AC3D69">
      <w:pPr>
        <w:pStyle w:val="Default"/>
        <w:rPr>
          <w:sz w:val="22"/>
          <w:szCs w:val="22"/>
        </w:rPr>
      </w:pPr>
      <w:r w:rsidRPr="00EA56BB">
        <w:rPr>
          <w:sz w:val="22"/>
          <w:szCs w:val="22"/>
        </w:rPr>
        <w:t xml:space="preserve">2.5 This document sets out the principles governing the investigation and prosecution of any </w:t>
      </w:r>
      <w:r w:rsidR="00751B9B" w:rsidRPr="00EA56BB">
        <w:rPr>
          <w:sz w:val="22"/>
          <w:szCs w:val="22"/>
        </w:rPr>
        <w:t>FGM</w:t>
      </w:r>
      <w:r w:rsidRPr="00EA56BB">
        <w:rPr>
          <w:sz w:val="22"/>
          <w:szCs w:val="22"/>
        </w:rPr>
        <w:t xml:space="preserve"> offences.    </w:t>
      </w:r>
    </w:p>
    <w:p w:rsidR="00586A79" w:rsidRPr="00EA56BB" w:rsidRDefault="00586A79" w:rsidP="00AC3D69">
      <w:pPr>
        <w:pStyle w:val="Default"/>
        <w:rPr>
          <w:sz w:val="22"/>
          <w:szCs w:val="22"/>
        </w:rPr>
      </w:pPr>
      <w:r w:rsidRPr="00EA56BB">
        <w:rPr>
          <w:sz w:val="22"/>
          <w:szCs w:val="22"/>
        </w:rPr>
        <w:t xml:space="preserve">The objectives of this protocol are: </w:t>
      </w:r>
    </w:p>
    <w:p w:rsidR="00586A79" w:rsidRPr="00EA56BB" w:rsidRDefault="00586A79" w:rsidP="002242C7">
      <w:pPr>
        <w:pStyle w:val="Default"/>
        <w:rPr>
          <w:sz w:val="22"/>
          <w:szCs w:val="22"/>
        </w:rPr>
      </w:pPr>
      <w:r w:rsidRPr="00EA56BB">
        <w:rPr>
          <w:sz w:val="22"/>
          <w:szCs w:val="22"/>
        </w:rPr>
        <w:t xml:space="preserve">• To achieve improved and consistent performance in the investigation and prosecution of </w:t>
      </w:r>
      <w:r w:rsidR="00751B9B" w:rsidRPr="00EA56BB">
        <w:rPr>
          <w:sz w:val="22"/>
          <w:szCs w:val="22"/>
        </w:rPr>
        <w:t>FGM</w:t>
      </w:r>
      <w:r w:rsidR="0045507C" w:rsidRPr="00EA56BB">
        <w:rPr>
          <w:sz w:val="22"/>
          <w:szCs w:val="22"/>
        </w:rPr>
        <w:t xml:space="preserve">; </w:t>
      </w:r>
    </w:p>
    <w:p w:rsidR="00282DAF" w:rsidRPr="00EA56BB" w:rsidRDefault="00586A79" w:rsidP="002242C7">
      <w:pPr>
        <w:pStyle w:val="Default"/>
        <w:rPr>
          <w:sz w:val="22"/>
          <w:szCs w:val="22"/>
        </w:rPr>
      </w:pPr>
      <w:r w:rsidRPr="00EA56BB">
        <w:rPr>
          <w:sz w:val="22"/>
          <w:szCs w:val="22"/>
        </w:rPr>
        <w:t xml:space="preserve">• To improve the service to </w:t>
      </w:r>
      <w:r w:rsidR="007C2F6E">
        <w:rPr>
          <w:sz w:val="22"/>
          <w:szCs w:val="22"/>
        </w:rPr>
        <w:t>victim</w:t>
      </w:r>
      <w:r w:rsidRPr="00EA56BB">
        <w:rPr>
          <w:sz w:val="22"/>
          <w:szCs w:val="22"/>
        </w:rPr>
        <w:t xml:space="preserve">s of </w:t>
      </w:r>
      <w:r w:rsidR="00751B9B" w:rsidRPr="00EA56BB">
        <w:rPr>
          <w:sz w:val="22"/>
          <w:szCs w:val="22"/>
        </w:rPr>
        <w:t>FGM</w:t>
      </w:r>
      <w:r w:rsidR="00A37DFD" w:rsidRPr="00EA56BB">
        <w:rPr>
          <w:sz w:val="22"/>
          <w:szCs w:val="22"/>
        </w:rPr>
        <w:t>;</w:t>
      </w:r>
    </w:p>
    <w:p w:rsidR="00586A79" w:rsidRPr="00EA56BB" w:rsidRDefault="00282DAF" w:rsidP="002242C7">
      <w:pPr>
        <w:pStyle w:val="Default"/>
        <w:rPr>
          <w:sz w:val="22"/>
          <w:szCs w:val="22"/>
        </w:rPr>
      </w:pPr>
      <w:r w:rsidRPr="00EA56BB">
        <w:rPr>
          <w:sz w:val="22"/>
          <w:szCs w:val="22"/>
        </w:rPr>
        <w:t>• I</w:t>
      </w:r>
      <w:r w:rsidR="00586A79" w:rsidRPr="00EA56BB">
        <w:rPr>
          <w:sz w:val="22"/>
          <w:szCs w:val="22"/>
        </w:rPr>
        <w:t xml:space="preserve">ncrease public confidence in the Police Service and CPS response to </w:t>
      </w:r>
      <w:r w:rsidR="00751B9B" w:rsidRPr="00EA56BB">
        <w:rPr>
          <w:sz w:val="22"/>
          <w:szCs w:val="22"/>
        </w:rPr>
        <w:t>FGM</w:t>
      </w:r>
      <w:r w:rsidR="0045507C" w:rsidRPr="00EA56BB">
        <w:rPr>
          <w:sz w:val="22"/>
          <w:szCs w:val="22"/>
        </w:rPr>
        <w:t xml:space="preserve"> and;</w:t>
      </w:r>
    </w:p>
    <w:p w:rsidR="00586A79" w:rsidRPr="00EA56BB" w:rsidRDefault="00586A79" w:rsidP="00AC3D69">
      <w:pPr>
        <w:pStyle w:val="Default"/>
        <w:rPr>
          <w:sz w:val="22"/>
          <w:szCs w:val="22"/>
        </w:rPr>
      </w:pPr>
      <w:r w:rsidRPr="00EA56BB">
        <w:rPr>
          <w:sz w:val="22"/>
          <w:szCs w:val="22"/>
        </w:rPr>
        <w:t>• To reflect NPCC</w:t>
      </w:r>
      <w:r w:rsidR="0045507C" w:rsidRPr="00EA56BB">
        <w:rPr>
          <w:sz w:val="22"/>
          <w:szCs w:val="22"/>
        </w:rPr>
        <w:t xml:space="preserve"> and CPS policy.</w:t>
      </w:r>
    </w:p>
    <w:p w:rsidR="00586A79" w:rsidRPr="00EA56BB" w:rsidRDefault="00586A79" w:rsidP="000936AF">
      <w:pPr>
        <w:pStyle w:val="Default"/>
        <w:rPr>
          <w:sz w:val="22"/>
          <w:szCs w:val="22"/>
        </w:rPr>
      </w:pPr>
    </w:p>
    <w:p w:rsidR="00586A79" w:rsidRPr="00EA56BB" w:rsidRDefault="00586A79" w:rsidP="000936AF">
      <w:pPr>
        <w:pStyle w:val="Default"/>
        <w:rPr>
          <w:b/>
          <w:sz w:val="22"/>
          <w:szCs w:val="22"/>
        </w:rPr>
      </w:pPr>
      <w:bookmarkStart w:id="3" w:name="Section3"/>
      <w:r w:rsidRPr="00EA56BB">
        <w:rPr>
          <w:b/>
          <w:sz w:val="22"/>
          <w:szCs w:val="22"/>
        </w:rPr>
        <w:t>3. SECTION 3 – BACKGROUND</w:t>
      </w:r>
    </w:p>
    <w:p w:rsidR="0090516F" w:rsidRPr="00EA56BB" w:rsidRDefault="0090516F" w:rsidP="000936AF">
      <w:pPr>
        <w:pStyle w:val="Default"/>
        <w:rPr>
          <w:b/>
          <w:sz w:val="22"/>
          <w:szCs w:val="22"/>
        </w:rPr>
      </w:pPr>
    </w:p>
    <w:p w:rsidR="0090516F" w:rsidRPr="00EA56BB" w:rsidRDefault="0090516F" w:rsidP="000936AF">
      <w:pPr>
        <w:pStyle w:val="Default"/>
        <w:rPr>
          <w:b/>
          <w:i/>
          <w:sz w:val="22"/>
          <w:szCs w:val="22"/>
        </w:rPr>
      </w:pPr>
      <w:r w:rsidRPr="00EA56BB">
        <w:rPr>
          <w:b/>
          <w:i/>
          <w:sz w:val="22"/>
          <w:szCs w:val="22"/>
        </w:rPr>
        <w:t>Definition</w:t>
      </w:r>
    </w:p>
    <w:bookmarkEnd w:id="3"/>
    <w:p w:rsidR="00586A79" w:rsidRPr="00EA56BB" w:rsidRDefault="00586A79" w:rsidP="000936AF">
      <w:pPr>
        <w:pStyle w:val="Default"/>
        <w:rPr>
          <w:b/>
          <w:sz w:val="22"/>
          <w:szCs w:val="22"/>
        </w:rPr>
      </w:pPr>
    </w:p>
    <w:p w:rsidR="00586A79" w:rsidRDefault="00D06454" w:rsidP="00FB7899">
      <w:pPr>
        <w:pStyle w:val="CommentText"/>
        <w:rPr>
          <w:rFonts w:ascii="Arial" w:hAnsi="Arial" w:cs="Arial"/>
          <w:sz w:val="22"/>
          <w:szCs w:val="22"/>
        </w:rPr>
      </w:pPr>
      <w:r w:rsidRPr="00EA56BB">
        <w:rPr>
          <w:rFonts w:ascii="Arial" w:hAnsi="Arial" w:cs="Arial"/>
          <w:sz w:val="22"/>
          <w:szCs w:val="22"/>
        </w:rPr>
        <w:t xml:space="preserve">3.1 </w:t>
      </w:r>
      <w:r w:rsidR="00754AE9" w:rsidRPr="00EA56BB">
        <w:rPr>
          <w:rFonts w:ascii="Arial" w:hAnsi="Arial" w:cs="Arial"/>
          <w:sz w:val="22"/>
          <w:szCs w:val="22"/>
        </w:rPr>
        <w:t xml:space="preserve">FGM is a procedure where the female genital organs are injured or changed and there is no medical reason for this. It is frequently a very traumatic and violent act for the </w:t>
      </w:r>
      <w:r w:rsidR="007C2F6E">
        <w:rPr>
          <w:rFonts w:ascii="Arial" w:hAnsi="Arial" w:cs="Arial"/>
          <w:sz w:val="22"/>
          <w:szCs w:val="22"/>
        </w:rPr>
        <w:t>victim</w:t>
      </w:r>
      <w:r w:rsidR="00754AE9" w:rsidRPr="00EA56BB">
        <w:rPr>
          <w:rFonts w:ascii="Arial" w:hAnsi="Arial" w:cs="Arial"/>
          <w:sz w:val="22"/>
          <w:szCs w:val="22"/>
        </w:rPr>
        <w:t xml:space="preserve"> and can cause harm in many ways. The practice can cause severe pain and there may be immediate and/or long-term health consequences, including mental health problems, difficulties in childbirth, causing danger to the child and mother; and/or death. </w:t>
      </w:r>
    </w:p>
    <w:p w:rsidR="0060549B" w:rsidRPr="00EA56BB" w:rsidRDefault="0060549B" w:rsidP="00FB7899">
      <w:pPr>
        <w:pStyle w:val="CommentText"/>
        <w:rPr>
          <w:rFonts w:ascii="Arial" w:hAnsi="Arial" w:cs="Arial"/>
          <w:sz w:val="22"/>
          <w:szCs w:val="22"/>
        </w:rPr>
      </w:pPr>
    </w:p>
    <w:p w:rsidR="00754AE9" w:rsidRPr="00EA56BB" w:rsidRDefault="0090516F" w:rsidP="00754AE9">
      <w:pPr>
        <w:pStyle w:val="Default"/>
        <w:rPr>
          <w:sz w:val="22"/>
          <w:szCs w:val="22"/>
        </w:rPr>
      </w:pPr>
      <w:r w:rsidRPr="00EA56BB">
        <w:rPr>
          <w:sz w:val="22"/>
          <w:szCs w:val="22"/>
        </w:rPr>
        <w:t xml:space="preserve">3.2 </w:t>
      </w:r>
      <w:r w:rsidR="00754AE9" w:rsidRPr="00EA56BB">
        <w:rPr>
          <w:sz w:val="22"/>
          <w:szCs w:val="22"/>
        </w:rPr>
        <w:t xml:space="preserve">FGM has been classified by the World Health Organisation (WHO) into four types: </w:t>
      </w:r>
    </w:p>
    <w:p w:rsidR="00754AE9" w:rsidRPr="00EA56BB" w:rsidRDefault="00754AE9" w:rsidP="00754AE9">
      <w:pPr>
        <w:pStyle w:val="ListParagraph"/>
        <w:numPr>
          <w:ilvl w:val="0"/>
          <w:numId w:val="47"/>
        </w:numPr>
        <w:autoSpaceDE w:val="0"/>
        <w:autoSpaceDN w:val="0"/>
        <w:adjustRightInd w:val="0"/>
        <w:spacing w:after="277"/>
        <w:rPr>
          <w:rFonts w:ascii="Arial" w:hAnsi="Arial" w:cs="Arial"/>
          <w:color w:val="000000"/>
        </w:rPr>
      </w:pPr>
      <w:r w:rsidRPr="00EA56BB">
        <w:rPr>
          <w:rFonts w:ascii="Arial" w:hAnsi="Arial" w:cs="Arial"/>
          <w:color w:val="000000"/>
        </w:rPr>
        <w:t xml:space="preserve">Type 1 – </w:t>
      </w:r>
      <w:proofErr w:type="spellStart"/>
      <w:r w:rsidRPr="00EA56BB">
        <w:rPr>
          <w:rFonts w:ascii="Arial" w:hAnsi="Arial" w:cs="Arial"/>
          <w:color w:val="000000"/>
        </w:rPr>
        <w:t>Clitoridectomy</w:t>
      </w:r>
      <w:proofErr w:type="spellEnd"/>
      <w:r w:rsidRPr="00EA56BB">
        <w:rPr>
          <w:rFonts w:ascii="Arial" w:hAnsi="Arial" w:cs="Arial"/>
          <w:color w:val="000000"/>
        </w:rPr>
        <w:t xml:space="preserve">: partial or total removal of the clitoris (a small, sensitive and erectile part of the female genitals) and, in very rare cases, only the prepuce (the fold of skin surrounding the clitoris); </w:t>
      </w:r>
    </w:p>
    <w:p w:rsidR="00754AE9" w:rsidRPr="00EA56BB" w:rsidRDefault="00754AE9" w:rsidP="00754AE9">
      <w:pPr>
        <w:pStyle w:val="ListParagraph"/>
        <w:numPr>
          <w:ilvl w:val="0"/>
          <w:numId w:val="47"/>
        </w:numPr>
        <w:autoSpaceDE w:val="0"/>
        <w:autoSpaceDN w:val="0"/>
        <w:adjustRightInd w:val="0"/>
        <w:spacing w:after="277"/>
        <w:rPr>
          <w:rFonts w:ascii="Arial" w:hAnsi="Arial" w:cs="Arial"/>
          <w:color w:val="000000"/>
        </w:rPr>
      </w:pPr>
      <w:r w:rsidRPr="00EA56BB">
        <w:rPr>
          <w:rFonts w:ascii="Arial" w:hAnsi="Arial" w:cs="Arial"/>
          <w:color w:val="000000"/>
        </w:rPr>
        <w:t>Type 2 – Excision: partial or total removal of the clitoris and the labia minora, with or without excision of the labia majora (the labia are the ‘lips’ that surround the vagina);</w:t>
      </w:r>
    </w:p>
    <w:p w:rsidR="00754AE9" w:rsidRPr="00EA56BB" w:rsidRDefault="00754AE9" w:rsidP="00754AE9">
      <w:pPr>
        <w:pStyle w:val="ListParagraph"/>
        <w:numPr>
          <w:ilvl w:val="0"/>
          <w:numId w:val="47"/>
        </w:numPr>
        <w:autoSpaceDE w:val="0"/>
        <w:autoSpaceDN w:val="0"/>
        <w:adjustRightInd w:val="0"/>
        <w:spacing w:after="277"/>
        <w:rPr>
          <w:rFonts w:ascii="Arial" w:hAnsi="Arial" w:cs="Arial"/>
          <w:color w:val="000000"/>
        </w:rPr>
      </w:pPr>
      <w:r w:rsidRPr="00EA56BB">
        <w:rPr>
          <w:rFonts w:ascii="Arial" w:hAnsi="Arial" w:cs="Arial"/>
          <w:color w:val="000000"/>
        </w:rPr>
        <w:t>Type 3 – Infibulation: narrowing of the vaginal opening through the creation of a covering seal. The seal is formed by cutting and repositioning the inner, or outer, labia, with or without removal of the clitoris; and</w:t>
      </w:r>
    </w:p>
    <w:p w:rsidR="008C43B7" w:rsidRPr="008C43B7" w:rsidRDefault="00754AE9" w:rsidP="008C43B7">
      <w:pPr>
        <w:pStyle w:val="ListParagraph"/>
        <w:numPr>
          <w:ilvl w:val="0"/>
          <w:numId w:val="47"/>
        </w:numPr>
        <w:autoSpaceDE w:val="0"/>
        <w:autoSpaceDN w:val="0"/>
        <w:adjustRightInd w:val="0"/>
        <w:spacing w:after="277"/>
        <w:rPr>
          <w:rFonts w:ascii="Arial" w:hAnsi="Arial" w:cs="Arial"/>
          <w:color w:val="000000"/>
        </w:rPr>
      </w:pPr>
      <w:r w:rsidRPr="00EA56BB">
        <w:rPr>
          <w:rFonts w:ascii="Arial" w:hAnsi="Arial" w:cs="Arial"/>
        </w:rPr>
        <w:t xml:space="preserve">Type 4 – Other: all other harmful procedures to the female genitalia for non-medical purposes, e.g. pricking, piercing, incising, scraping and cauterising the </w:t>
      </w:r>
      <w:r w:rsidR="00EF28F0" w:rsidRPr="00EA56BB">
        <w:rPr>
          <w:rFonts w:ascii="Arial" w:hAnsi="Arial" w:cs="Arial"/>
        </w:rPr>
        <w:t>genital area.</w:t>
      </w:r>
    </w:p>
    <w:p w:rsidR="008C43B7" w:rsidRPr="008C43B7" w:rsidRDefault="008C43B7" w:rsidP="008C43B7">
      <w:pPr>
        <w:autoSpaceDE w:val="0"/>
        <w:autoSpaceDN w:val="0"/>
        <w:adjustRightInd w:val="0"/>
        <w:spacing w:after="277"/>
        <w:rPr>
          <w:rFonts w:ascii="Arial" w:hAnsi="Arial" w:cs="Arial"/>
          <w:color w:val="000000"/>
        </w:rPr>
      </w:pPr>
      <w:r>
        <w:rPr>
          <w:rFonts w:ascii="Arial" w:hAnsi="Arial" w:cs="Arial"/>
          <w:color w:val="000000"/>
        </w:rPr>
        <w:t xml:space="preserve">3.3 </w:t>
      </w:r>
      <w:r w:rsidRPr="008C43B7">
        <w:rPr>
          <w:rFonts w:ascii="Arial" w:hAnsi="Arial" w:cs="Arial"/>
        </w:rPr>
        <w:t>Excision and infibulation are examples of what constitutes mutilation for the purpose of the 2003 Act but the term “mutilate” is not defined in the Act. The interpretation of the legislation, including whether a particular procedure amounts to mutilation, is a matter for the criminal courts to determine in cases brought before them. In the absence of any conviction for FGM, there is currently no criminal case law on what does or does not amount to mutilation for the purpose of the 2003 Act.</w:t>
      </w:r>
    </w:p>
    <w:p w:rsidR="00400625" w:rsidRPr="00EA56BB" w:rsidRDefault="00400625" w:rsidP="00FB7899">
      <w:pPr>
        <w:pStyle w:val="CommentText"/>
        <w:rPr>
          <w:rFonts w:ascii="Arial" w:hAnsi="Arial" w:cs="Arial"/>
          <w:b/>
          <w:i/>
          <w:sz w:val="22"/>
          <w:szCs w:val="22"/>
        </w:rPr>
      </w:pPr>
      <w:r w:rsidRPr="00EA56BB">
        <w:rPr>
          <w:rFonts w:ascii="Arial" w:hAnsi="Arial" w:cs="Arial"/>
          <w:b/>
          <w:i/>
          <w:sz w:val="22"/>
          <w:szCs w:val="22"/>
        </w:rPr>
        <w:t>Legislation</w:t>
      </w:r>
    </w:p>
    <w:p w:rsidR="00400625" w:rsidRPr="00EA56BB" w:rsidRDefault="00400625" w:rsidP="00FB7899">
      <w:pPr>
        <w:pStyle w:val="CommentText"/>
        <w:rPr>
          <w:rFonts w:ascii="Arial" w:hAnsi="Arial" w:cs="Arial"/>
          <w:sz w:val="22"/>
          <w:szCs w:val="22"/>
        </w:rPr>
      </w:pPr>
    </w:p>
    <w:p w:rsidR="00CB33D2" w:rsidRDefault="005626F2" w:rsidP="00CB33D2">
      <w:pPr>
        <w:pStyle w:val="CommentText"/>
        <w:rPr>
          <w:rFonts w:ascii="Arial" w:hAnsi="Arial" w:cs="Arial"/>
          <w:sz w:val="22"/>
          <w:szCs w:val="22"/>
        </w:rPr>
      </w:pPr>
      <w:r>
        <w:rPr>
          <w:rFonts w:ascii="Arial" w:hAnsi="Arial" w:cs="Arial"/>
          <w:sz w:val="22"/>
          <w:szCs w:val="22"/>
        </w:rPr>
        <w:t>3.4</w:t>
      </w:r>
      <w:r w:rsidR="0090516F" w:rsidRPr="006B58A1">
        <w:rPr>
          <w:rFonts w:ascii="Arial" w:hAnsi="Arial" w:cs="Arial"/>
          <w:sz w:val="22"/>
          <w:szCs w:val="22"/>
        </w:rPr>
        <w:t xml:space="preserve"> </w:t>
      </w:r>
      <w:r w:rsidR="006B58A1" w:rsidRPr="00EA56BB">
        <w:rPr>
          <w:rFonts w:ascii="Arial" w:hAnsi="Arial" w:cs="Arial"/>
          <w:sz w:val="22"/>
          <w:szCs w:val="22"/>
        </w:rPr>
        <w:t>In England and Wales, criminal and civil legislation on FGM is contained in the Female Genital Mutilation Act 2003 (“the 2003 Act”).</w:t>
      </w:r>
      <w:r w:rsidR="005858D4">
        <w:rPr>
          <w:rFonts w:ascii="Arial" w:hAnsi="Arial" w:cs="Arial"/>
          <w:sz w:val="22"/>
          <w:szCs w:val="22"/>
        </w:rPr>
        <w:t xml:space="preserve"> Information on the FGM Act can be found within Chapter 3 of the </w:t>
      </w:r>
      <w:hyperlink r:id="rId14" w:history="1">
        <w:r w:rsidR="005858D4">
          <w:rPr>
            <w:rStyle w:val="Hyperlink"/>
            <w:rFonts w:ascii="Arial" w:hAnsi="Arial" w:cs="Arial"/>
            <w:sz w:val="22"/>
            <w:szCs w:val="22"/>
          </w:rPr>
          <w:t>Multi-Agency Statutory Guidance on FGM</w:t>
        </w:r>
      </w:hyperlink>
      <w:r w:rsidR="005858D4">
        <w:rPr>
          <w:rFonts w:ascii="Arial" w:hAnsi="Arial" w:cs="Arial"/>
          <w:sz w:val="22"/>
          <w:szCs w:val="22"/>
        </w:rPr>
        <w:t xml:space="preserve">. </w:t>
      </w:r>
    </w:p>
    <w:p w:rsidR="00CB33D2" w:rsidRDefault="00CB33D2" w:rsidP="00CB33D2">
      <w:pPr>
        <w:pStyle w:val="CommentText"/>
        <w:rPr>
          <w:rFonts w:ascii="Arial" w:hAnsi="Arial" w:cs="Arial"/>
          <w:sz w:val="22"/>
          <w:szCs w:val="22"/>
        </w:rPr>
      </w:pPr>
    </w:p>
    <w:p w:rsidR="00A65948" w:rsidRPr="00EA56BB" w:rsidRDefault="00A65948" w:rsidP="00A65948">
      <w:pPr>
        <w:pStyle w:val="Default"/>
        <w:rPr>
          <w:sz w:val="22"/>
          <w:szCs w:val="22"/>
          <w:lang w:val="en-US"/>
        </w:rPr>
      </w:pPr>
      <w:r w:rsidRPr="00EA56BB">
        <w:rPr>
          <w:rStyle w:val="Hyperlink"/>
          <w:rFonts w:cs="Arial"/>
          <w:color w:val="000000"/>
          <w:sz w:val="22"/>
          <w:szCs w:val="22"/>
          <w:u w:val="none"/>
        </w:rPr>
        <w:t>3.</w:t>
      </w:r>
      <w:r w:rsidR="005626F2">
        <w:rPr>
          <w:rStyle w:val="Hyperlink"/>
          <w:rFonts w:cs="Arial"/>
          <w:color w:val="000000"/>
          <w:sz w:val="22"/>
          <w:szCs w:val="22"/>
          <w:u w:val="none"/>
        </w:rPr>
        <w:t>5</w:t>
      </w:r>
      <w:r w:rsidRPr="00EA56BB">
        <w:rPr>
          <w:rStyle w:val="Hyperlink"/>
          <w:rFonts w:cs="Arial"/>
          <w:color w:val="000000"/>
          <w:sz w:val="22"/>
          <w:szCs w:val="22"/>
          <w:u w:val="none"/>
        </w:rPr>
        <w:t xml:space="preserve"> </w:t>
      </w:r>
      <w:r w:rsidRPr="00EA56BB">
        <w:rPr>
          <w:sz w:val="22"/>
          <w:szCs w:val="22"/>
          <w:lang w:val="en-US"/>
        </w:rPr>
        <w:t xml:space="preserve">The 2003 Act was amended by the Serious Crime Act 2015 by: </w:t>
      </w:r>
    </w:p>
    <w:p w:rsidR="00A65948" w:rsidRPr="00EA56BB" w:rsidRDefault="00A65948" w:rsidP="00A65948">
      <w:pPr>
        <w:pStyle w:val="Default"/>
        <w:numPr>
          <w:ilvl w:val="0"/>
          <w:numId w:val="41"/>
        </w:numPr>
        <w:rPr>
          <w:sz w:val="22"/>
          <w:szCs w:val="22"/>
          <w:lang w:val="en-US"/>
        </w:rPr>
      </w:pPr>
      <w:r w:rsidRPr="00EA56BB">
        <w:rPr>
          <w:sz w:val="22"/>
          <w:szCs w:val="22"/>
          <w:lang w:val="en-US"/>
        </w:rPr>
        <w:t xml:space="preserve">extending the scope of extra-territorial </w:t>
      </w:r>
      <w:r w:rsidR="00BD58B9">
        <w:rPr>
          <w:sz w:val="22"/>
          <w:szCs w:val="22"/>
          <w:lang w:val="en-US"/>
        </w:rPr>
        <w:t xml:space="preserve">jurisdiction over </w:t>
      </w:r>
      <w:r w:rsidRPr="00EA56BB">
        <w:rPr>
          <w:sz w:val="22"/>
          <w:szCs w:val="22"/>
          <w:lang w:val="en-US"/>
        </w:rPr>
        <w:t xml:space="preserve">offences </w:t>
      </w:r>
      <w:r w:rsidR="00BD58B9">
        <w:rPr>
          <w:sz w:val="22"/>
          <w:szCs w:val="22"/>
          <w:lang w:val="en-US"/>
        </w:rPr>
        <w:t>of FGM committed abroad by UK nationals and those habitually (as well as permanently) resident in the UK</w:t>
      </w:r>
      <w:r w:rsidRPr="00EA56BB">
        <w:rPr>
          <w:sz w:val="22"/>
          <w:szCs w:val="22"/>
          <w:lang w:val="en-US"/>
        </w:rPr>
        <w:t xml:space="preserve">); </w:t>
      </w:r>
    </w:p>
    <w:p w:rsidR="00A65948" w:rsidRPr="00EA56BB" w:rsidRDefault="00A65948" w:rsidP="00A65948">
      <w:pPr>
        <w:pStyle w:val="Default"/>
        <w:numPr>
          <w:ilvl w:val="0"/>
          <w:numId w:val="41"/>
        </w:numPr>
        <w:rPr>
          <w:sz w:val="22"/>
          <w:szCs w:val="22"/>
          <w:lang w:val="en-US"/>
        </w:rPr>
      </w:pPr>
      <w:r w:rsidRPr="00EA56BB">
        <w:rPr>
          <w:sz w:val="22"/>
          <w:szCs w:val="22"/>
          <w:lang w:val="en-US"/>
        </w:rPr>
        <w:t xml:space="preserve">granting </w:t>
      </w:r>
      <w:r w:rsidR="007C2F6E">
        <w:rPr>
          <w:sz w:val="22"/>
          <w:szCs w:val="22"/>
          <w:lang w:val="en-US"/>
        </w:rPr>
        <w:t>victim</w:t>
      </w:r>
      <w:r w:rsidRPr="00EA56BB">
        <w:rPr>
          <w:sz w:val="22"/>
          <w:szCs w:val="22"/>
          <w:lang w:val="en-US"/>
        </w:rPr>
        <w:t xml:space="preserve">s of FGM lifelong anonymity; </w:t>
      </w:r>
    </w:p>
    <w:p w:rsidR="00A65948" w:rsidRPr="00EA56BB" w:rsidRDefault="00A65948" w:rsidP="00A65948">
      <w:pPr>
        <w:pStyle w:val="Default"/>
        <w:numPr>
          <w:ilvl w:val="0"/>
          <w:numId w:val="41"/>
        </w:numPr>
        <w:rPr>
          <w:sz w:val="22"/>
          <w:szCs w:val="22"/>
          <w:lang w:val="en-US"/>
        </w:rPr>
      </w:pPr>
      <w:r w:rsidRPr="00EA56BB">
        <w:rPr>
          <w:sz w:val="22"/>
          <w:szCs w:val="22"/>
          <w:lang w:val="en-US"/>
        </w:rPr>
        <w:t xml:space="preserve">introducing a new offence of failing to protect a girl from risk of FGM; </w:t>
      </w:r>
    </w:p>
    <w:p w:rsidR="004F6AB8" w:rsidRPr="00EA56BB" w:rsidRDefault="004F6AB8" w:rsidP="004F6AB8">
      <w:pPr>
        <w:pStyle w:val="Default"/>
        <w:numPr>
          <w:ilvl w:val="0"/>
          <w:numId w:val="41"/>
        </w:numPr>
        <w:rPr>
          <w:sz w:val="22"/>
          <w:szCs w:val="22"/>
          <w:lang w:val="en-US"/>
        </w:rPr>
      </w:pPr>
      <w:r>
        <w:rPr>
          <w:sz w:val="22"/>
          <w:szCs w:val="22"/>
          <w:lang w:val="en-US"/>
        </w:rPr>
        <w:t xml:space="preserve">introducing a mandatory reporting duty which requires specified professionals to report known cases of FGM in under 18s to the police; </w:t>
      </w:r>
      <w:r w:rsidRPr="00EA56BB">
        <w:rPr>
          <w:sz w:val="22"/>
          <w:szCs w:val="22"/>
          <w:lang w:val="en-US"/>
        </w:rPr>
        <w:t xml:space="preserve"> and</w:t>
      </w:r>
    </w:p>
    <w:p w:rsidR="00A65948" w:rsidRPr="00EA56BB" w:rsidRDefault="00A65948" w:rsidP="00A65948">
      <w:pPr>
        <w:pStyle w:val="Default"/>
        <w:numPr>
          <w:ilvl w:val="0"/>
          <w:numId w:val="41"/>
        </w:numPr>
        <w:rPr>
          <w:sz w:val="22"/>
          <w:szCs w:val="22"/>
          <w:lang w:val="en-US"/>
        </w:rPr>
      </w:pPr>
      <w:proofErr w:type="gramStart"/>
      <w:r w:rsidRPr="00EA56BB">
        <w:rPr>
          <w:sz w:val="22"/>
          <w:szCs w:val="22"/>
          <w:lang w:val="en-US"/>
        </w:rPr>
        <w:t>introducing</w:t>
      </w:r>
      <w:proofErr w:type="gramEnd"/>
      <w:r w:rsidRPr="00EA56BB">
        <w:rPr>
          <w:sz w:val="22"/>
          <w:szCs w:val="22"/>
          <w:lang w:val="en-US"/>
        </w:rPr>
        <w:t xml:space="preserve"> civil FGM Protection Orders</w:t>
      </w:r>
      <w:r w:rsidR="001749DF" w:rsidRPr="00EA56BB">
        <w:rPr>
          <w:sz w:val="22"/>
          <w:szCs w:val="22"/>
          <w:lang w:val="en-US"/>
        </w:rPr>
        <w:t xml:space="preserve"> (FGMPOs)</w:t>
      </w:r>
      <w:r w:rsidRPr="00EA56BB">
        <w:rPr>
          <w:sz w:val="22"/>
          <w:szCs w:val="22"/>
          <w:lang w:val="en-US"/>
        </w:rPr>
        <w:t>.</w:t>
      </w:r>
    </w:p>
    <w:p w:rsidR="00586A79" w:rsidRPr="00EA56BB" w:rsidRDefault="00586A79" w:rsidP="004E30FB">
      <w:pPr>
        <w:pStyle w:val="Default"/>
        <w:rPr>
          <w:rStyle w:val="Hyperlink"/>
          <w:rFonts w:cs="Arial"/>
          <w:color w:val="000000"/>
          <w:sz w:val="22"/>
          <w:szCs w:val="22"/>
          <w:u w:val="none"/>
        </w:rPr>
      </w:pPr>
    </w:p>
    <w:p w:rsidR="00B77AC2" w:rsidRPr="0060549B" w:rsidRDefault="00EC1D40" w:rsidP="00B77AC2">
      <w:pPr>
        <w:pStyle w:val="Default"/>
        <w:rPr>
          <w:rStyle w:val="Hyperlink"/>
          <w:rFonts w:cs="Arial"/>
          <w:color w:val="000000"/>
          <w:sz w:val="22"/>
          <w:szCs w:val="22"/>
          <w:u w:val="none"/>
        </w:rPr>
      </w:pPr>
      <w:r w:rsidRPr="00EA56BB">
        <w:rPr>
          <w:rStyle w:val="Hyperlink"/>
          <w:rFonts w:cs="Arial"/>
          <w:color w:val="000000"/>
          <w:sz w:val="22"/>
          <w:szCs w:val="22"/>
          <w:u w:val="none"/>
        </w:rPr>
        <w:t>3.</w:t>
      </w:r>
      <w:r w:rsidR="005626F2">
        <w:rPr>
          <w:rStyle w:val="Hyperlink"/>
          <w:rFonts w:cs="Arial"/>
          <w:color w:val="000000"/>
          <w:sz w:val="22"/>
          <w:szCs w:val="22"/>
          <w:u w:val="none"/>
        </w:rPr>
        <w:t>6</w:t>
      </w:r>
      <w:r w:rsidRPr="00EA56BB">
        <w:rPr>
          <w:rStyle w:val="Hyperlink"/>
          <w:rFonts w:cs="Arial"/>
          <w:color w:val="000000"/>
          <w:sz w:val="22"/>
          <w:szCs w:val="22"/>
          <w:u w:val="none"/>
        </w:rPr>
        <w:t xml:space="preserve"> </w:t>
      </w:r>
      <w:r w:rsidR="003628A7" w:rsidRPr="00EA56BB">
        <w:rPr>
          <w:rStyle w:val="Hyperlink"/>
          <w:rFonts w:cs="Arial"/>
          <w:color w:val="000000"/>
          <w:sz w:val="22"/>
          <w:szCs w:val="22"/>
          <w:u w:val="none"/>
        </w:rPr>
        <w:t xml:space="preserve">It is </w:t>
      </w:r>
      <w:r w:rsidR="00D87A3E" w:rsidRPr="00EA56BB">
        <w:rPr>
          <w:rStyle w:val="Hyperlink"/>
          <w:rFonts w:cs="Arial"/>
          <w:color w:val="000000"/>
          <w:sz w:val="22"/>
          <w:szCs w:val="22"/>
          <w:u w:val="none"/>
        </w:rPr>
        <w:t>important</w:t>
      </w:r>
      <w:r w:rsidR="003628A7" w:rsidRPr="00EA56BB">
        <w:rPr>
          <w:rStyle w:val="Hyperlink"/>
          <w:rFonts w:cs="Arial"/>
          <w:color w:val="000000"/>
          <w:sz w:val="22"/>
          <w:szCs w:val="22"/>
          <w:u w:val="none"/>
        </w:rPr>
        <w:t xml:space="preserve"> to note that the legislation </w:t>
      </w:r>
      <w:r w:rsidR="00E26D69" w:rsidRPr="00EA56BB">
        <w:rPr>
          <w:rStyle w:val="Hyperlink"/>
          <w:rFonts w:cs="Arial"/>
          <w:color w:val="000000"/>
          <w:sz w:val="22"/>
          <w:szCs w:val="22"/>
          <w:u w:val="none"/>
        </w:rPr>
        <w:t xml:space="preserve">is silent </w:t>
      </w:r>
      <w:r w:rsidR="00CE4641" w:rsidRPr="00EA56BB">
        <w:rPr>
          <w:rStyle w:val="Hyperlink"/>
          <w:rFonts w:cs="Arial"/>
          <w:color w:val="000000"/>
          <w:sz w:val="22"/>
          <w:szCs w:val="22"/>
          <w:u w:val="none"/>
        </w:rPr>
        <w:t xml:space="preserve">on whether or not a crime was committed for cultural reasons, except in section 1(5) where it states: </w:t>
      </w:r>
      <w:r w:rsidR="00231F45" w:rsidRPr="00EA56BB">
        <w:rPr>
          <w:i/>
          <w:sz w:val="22"/>
          <w:szCs w:val="22"/>
        </w:rPr>
        <w:t>For the purpose of determining whether an operation is necessary for the mental health of a girl it is immaterial whether she or any other person believes that the operation is required as a matter of custom or ritual.</w:t>
      </w:r>
      <w:r w:rsidR="0060549B">
        <w:rPr>
          <w:i/>
          <w:sz w:val="22"/>
          <w:szCs w:val="22"/>
        </w:rPr>
        <w:t xml:space="preserve"> </w:t>
      </w:r>
      <w:r w:rsidR="0060549B" w:rsidRPr="0060549B">
        <w:rPr>
          <w:sz w:val="22"/>
          <w:szCs w:val="22"/>
        </w:rPr>
        <w:t xml:space="preserve">There are only two exceptions where an offence </w:t>
      </w:r>
      <w:r w:rsidR="00B77AC2">
        <w:rPr>
          <w:sz w:val="22"/>
          <w:szCs w:val="22"/>
        </w:rPr>
        <w:t>is not committed under s. 1(1) of the 2003 Act</w:t>
      </w:r>
      <w:r w:rsidR="00BB4270">
        <w:rPr>
          <w:rStyle w:val="FootnoteReference"/>
          <w:sz w:val="22"/>
          <w:szCs w:val="22"/>
        </w:rPr>
        <w:footnoteReference w:id="3"/>
      </w:r>
      <w:r w:rsidR="00B77AC2">
        <w:rPr>
          <w:sz w:val="22"/>
          <w:szCs w:val="22"/>
        </w:rPr>
        <w:t xml:space="preserve"> </w:t>
      </w:r>
      <w:r w:rsidR="00B77AC2" w:rsidRPr="0060549B">
        <w:rPr>
          <w:sz w:val="22"/>
          <w:szCs w:val="22"/>
        </w:rPr>
        <w:t xml:space="preserve">and that is when an </w:t>
      </w:r>
      <w:r w:rsidR="00B77AC2">
        <w:rPr>
          <w:sz w:val="22"/>
          <w:szCs w:val="22"/>
        </w:rPr>
        <w:t>“</w:t>
      </w:r>
      <w:r w:rsidR="00B77AC2" w:rsidRPr="0060549B">
        <w:rPr>
          <w:sz w:val="22"/>
          <w:szCs w:val="22"/>
        </w:rPr>
        <w:t>approved person</w:t>
      </w:r>
      <w:r w:rsidR="00B77AC2">
        <w:rPr>
          <w:sz w:val="22"/>
          <w:szCs w:val="22"/>
        </w:rPr>
        <w:t>” (defined in s. 1(3))</w:t>
      </w:r>
      <w:r w:rsidR="00B77AC2" w:rsidRPr="0060549B">
        <w:rPr>
          <w:sz w:val="22"/>
          <w:szCs w:val="22"/>
        </w:rPr>
        <w:t xml:space="preserve"> performs a surgical operation which is </w:t>
      </w:r>
      <w:r w:rsidR="00B77AC2">
        <w:rPr>
          <w:sz w:val="22"/>
          <w:szCs w:val="22"/>
        </w:rPr>
        <w:t xml:space="preserve">either </w:t>
      </w:r>
      <w:r w:rsidR="00B77AC2" w:rsidRPr="0060549B">
        <w:rPr>
          <w:sz w:val="22"/>
          <w:szCs w:val="22"/>
        </w:rPr>
        <w:t xml:space="preserve">necessary for </w:t>
      </w:r>
      <w:r w:rsidR="00B77AC2">
        <w:rPr>
          <w:sz w:val="22"/>
          <w:szCs w:val="22"/>
        </w:rPr>
        <w:t>the girl’s</w:t>
      </w:r>
      <w:r w:rsidR="00B77AC2" w:rsidRPr="0060549B">
        <w:rPr>
          <w:sz w:val="22"/>
          <w:szCs w:val="22"/>
        </w:rPr>
        <w:t xml:space="preserve"> physical or mental health; or is performed on a girl who is in labour or has just given birth for purposes connected with birth or labour. </w:t>
      </w:r>
    </w:p>
    <w:p w:rsidR="00EC1D40" w:rsidRPr="00EA56BB" w:rsidRDefault="00EC1D40" w:rsidP="004E30FB">
      <w:pPr>
        <w:pStyle w:val="Default"/>
        <w:rPr>
          <w:rStyle w:val="Hyperlink"/>
          <w:rFonts w:cs="Arial"/>
          <w:color w:val="000000"/>
          <w:sz w:val="22"/>
          <w:szCs w:val="22"/>
          <w:u w:val="none"/>
        </w:rPr>
      </w:pPr>
    </w:p>
    <w:p w:rsidR="00586A79" w:rsidRPr="00EA56BB" w:rsidRDefault="00586A79" w:rsidP="004E30FB">
      <w:pPr>
        <w:pStyle w:val="Default"/>
        <w:rPr>
          <w:rStyle w:val="Hyperlink"/>
          <w:rFonts w:cs="Arial"/>
          <w:color w:val="000000"/>
          <w:sz w:val="22"/>
          <w:szCs w:val="22"/>
          <w:u w:val="none"/>
        </w:rPr>
      </w:pPr>
      <w:r w:rsidRPr="00EA56BB">
        <w:rPr>
          <w:rStyle w:val="Hyperlink"/>
          <w:rFonts w:cs="Arial"/>
          <w:color w:val="000000"/>
          <w:sz w:val="22"/>
          <w:szCs w:val="22"/>
          <w:u w:val="none"/>
        </w:rPr>
        <w:t>3.</w:t>
      </w:r>
      <w:r w:rsidR="005626F2">
        <w:rPr>
          <w:rStyle w:val="Hyperlink"/>
          <w:rFonts w:cs="Arial"/>
          <w:color w:val="000000"/>
          <w:sz w:val="22"/>
          <w:szCs w:val="22"/>
          <w:u w:val="none"/>
        </w:rPr>
        <w:t>7</w:t>
      </w:r>
      <w:r w:rsidRPr="00EA56BB">
        <w:rPr>
          <w:rStyle w:val="Hyperlink"/>
          <w:rFonts w:cs="Arial"/>
          <w:color w:val="000000"/>
          <w:sz w:val="22"/>
          <w:szCs w:val="22"/>
          <w:u w:val="none"/>
        </w:rPr>
        <w:t xml:space="preserve"> Other useful information:</w:t>
      </w:r>
    </w:p>
    <w:p w:rsidR="00586A79" w:rsidRPr="00EA56BB" w:rsidRDefault="00586A79" w:rsidP="004E30FB">
      <w:pPr>
        <w:pStyle w:val="Default"/>
        <w:rPr>
          <w:rStyle w:val="Hyperlink"/>
          <w:rFonts w:cs="Arial"/>
          <w:b/>
          <w:i/>
          <w:color w:val="000000"/>
          <w:sz w:val="22"/>
          <w:szCs w:val="22"/>
          <w:u w:val="none"/>
        </w:rPr>
      </w:pPr>
    </w:p>
    <w:p w:rsidR="00586A79" w:rsidRPr="00EA56BB" w:rsidRDefault="00586A79" w:rsidP="008179BB">
      <w:pPr>
        <w:rPr>
          <w:rStyle w:val="Hyperlink"/>
          <w:rFonts w:cs="Arial"/>
          <w:color w:val="000000"/>
          <w:u w:val="none"/>
        </w:rPr>
      </w:pPr>
      <w:r w:rsidRPr="00EA56BB">
        <w:rPr>
          <w:rStyle w:val="Hyperlink"/>
          <w:rFonts w:cs="Arial"/>
          <w:b/>
          <w:i/>
          <w:color w:val="000000"/>
          <w:u w:val="none"/>
        </w:rPr>
        <w:t xml:space="preserve">Police: </w:t>
      </w:r>
      <w:hyperlink r:id="rId15" w:history="1">
        <w:r w:rsidR="000B673F" w:rsidRPr="008179BB">
          <w:rPr>
            <w:rStyle w:val="Hyperlink"/>
            <w:rFonts w:ascii="Arial" w:hAnsi="Arial" w:cs="Arial"/>
          </w:rPr>
          <w:t>College of Policing’s Authorised Professional Practice regarding FGM</w:t>
        </w:r>
      </w:hyperlink>
      <w:r w:rsidR="008179BB" w:rsidRPr="008179BB">
        <w:rPr>
          <w:rStyle w:val="Hyperlink"/>
          <w:rFonts w:ascii="Arial" w:hAnsi="Arial" w:cs="Arial"/>
          <w:color w:val="000000" w:themeColor="text1"/>
          <w:u w:val="none"/>
        </w:rPr>
        <w:t xml:space="preserve">, </w:t>
      </w:r>
      <w:hyperlink r:id="rId16" w:history="1">
        <w:r w:rsidR="008179BB" w:rsidRPr="008179BB">
          <w:rPr>
            <w:rStyle w:val="Hyperlink"/>
            <w:rFonts w:ascii="Arial" w:hAnsi="Arial" w:cs="Arial"/>
          </w:rPr>
          <w:t>NPCC National Vulnerability Action Plan</w:t>
        </w:r>
      </w:hyperlink>
      <w:r w:rsidR="008179BB" w:rsidRPr="008179BB">
        <w:rPr>
          <w:rFonts w:ascii="Arial" w:hAnsi="Arial" w:cs="Arial"/>
        </w:rPr>
        <w:t xml:space="preserve">. </w:t>
      </w:r>
      <w:r w:rsidR="000B673F" w:rsidRPr="008179BB">
        <w:rPr>
          <w:rStyle w:val="Hyperlink"/>
          <w:rFonts w:ascii="Arial" w:hAnsi="Arial" w:cs="Arial"/>
          <w:color w:val="000000" w:themeColor="text1"/>
          <w:u w:val="none"/>
        </w:rPr>
        <w:t xml:space="preserve"> O</w:t>
      </w:r>
      <w:r w:rsidRPr="008179BB">
        <w:rPr>
          <w:rStyle w:val="Hyperlink"/>
          <w:rFonts w:ascii="Arial" w:hAnsi="Arial" w:cs="Arial"/>
          <w:color w:val="000000"/>
          <w:u w:val="none"/>
        </w:rPr>
        <w:t xml:space="preserve">fficers should </w:t>
      </w:r>
      <w:r w:rsidR="000B673F" w:rsidRPr="008179BB">
        <w:rPr>
          <w:rStyle w:val="Hyperlink"/>
          <w:rFonts w:ascii="Arial" w:hAnsi="Arial" w:cs="Arial"/>
          <w:color w:val="000000"/>
          <w:u w:val="none"/>
        </w:rPr>
        <w:t xml:space="preserve">also </w:t>
      </w:r>
      <w:r w:rsidRPr="008179BB">
        <w:rPr>
          <w:rStyle w:val="Hyperlink"/>
          <w:rFonts w:ascii="Arial" w:hAnsi="Arial" w:cs="Arial"/>
          <w:color w:val="000000"/>
          <w:u w:val="none"/>
        </w:rPr>
        <w:t>liaise with their force</w:t>
      </w:r>
      <w:r w:rsidR="00F74790" w:rsidRPr="008179BB">
        <w:rPr>
          <w:rStyle w:val="Hyperlink"/>
          <w:rFonts w:ascii="Arial" w:hAnsi="Arial" w:cs="Arial"/>
          <w:color w:val="000000"/>
          <w:u w:val="none"/>
        </w:rPr>
        <w:t xml:space="preserve"> and regional</w:t>
      </w:r>
      <w:r w:rsidRPr="008179BB">
        <w:rPr>
          <w:rStyle w:val="Hyperlink"/>
          <w:rFonts w:ascii="Arial" w:hAnsi="Arial" w:cs="Arial"/>
          <w:color w:val="000000"/>
          <w:u w:val="none"/>
        </w:rPr>
        <w:t xml:space="preserve"> area </w:t>
      </w:r>
      <w:r w:rsidR="00612289" w:rsidRPr="008179BB">
        <w:rPr>
          <w:rStyle w:val="Hyperlink"/>
          <w:rFonts w:ascii="Arial" w:hAnsi="Arial" w:cs="Arial"/>
          <w:color w:val="000000"/>
          <w:u w:val="none"/>
        </w:rPr>
        <w:t>FGM</w:t>
      </w:r>
      <w:r w:rsidRPr="008179BB">
        <w:rPr>
          <w:rStyle w:val="Hyperlink"/>
          <w:rFonts w:ascii="Arial" w:hAnsi="Arial" w:cs="Arial"/>
          <w:color w:val="000000"/>
          <w:u w:val="none"/>
        </w:rPr>
        <w:t xml:space="preserve"> lead who can advise on relevant guidance and toolkits that may also assist when handling these cases.</w:t>
      </w:r>
      <w:r w:rsidRPr="00EA56BB">
        <w:rPr>
          <w:rStyle w:val="Hyperlink"/>
          <w:rFonts w:cs="Arial"/>
          <w:color w:val="000000"/>
          <w:u w:val="none"/>
        </w:rPr>
        <w:t xml:space="preserve"> </w:t>
      </w:r>
    </w:p>
    <w:p w:rsidR="00586A79" w:rsidRPr="00EA56BB" w:rsidRDefault="00586A79" w:rsidP="004E30FB">
      <w:pPr>
        <w:pStyle w:val="Default"/>
        <w:rPr>
          <w:rStyle w:val="Hyperlink"/>
          <w:rFonts w:cs="Arial"/>
          <w:b/>
          <w:i/>
          <w:color w:val="000000"/>
          <w:sz w:val="22"/>
          <w:szCs w:val="22"/>
          <w:u w:val="none"/>
        </w:rPr>
      </w:pPr>
    </w:p>
    <w:p w:rsidR="00586A79" w:rsidRPr="00EA56BB" w:rsidRDefault="00586A79" w:rsidP="00F63E49">
      <w:pPr>
        <w:pStyle w:val="Default"/>
        <w:rPr>
          <w:rStyle w:val="Hyperlink"/>
          <w:rFonts w:cs="Arial"/>
          <w:sz w:val="22"/>
          <w:szCs w:val="22"/>
        </w:rPr>
      </w:pPr>
      <w:r w:rsidRPr="00EA56BB">
        <w:rPr>
          <w:rStyle w:val="Hyperlink"/>
          <w:rFonts w:cs="Arial"/>
          <w:b/>
          <w:i/>
          <w:color w:val="000000"/>
          <w:sz w:val="22"/>
          <w:szCs w:val="22"/>
          <w:u w:val="none"/>
        </w:rPr>
        <w:t>CPS</w:t>
      </w:r>
      <w:r w:rsidRPr="00EA56BB">
        <w:rPr>
          <w:rStyle w:val="Hyperlink"/>
          <w:rFonts w:cs="Arial"/>
          <w:b/>
          <w:color w:val="000000"/>
          <w:sz w:val="22"/>
          <w:szCs w:val="22"/>
          <w:u w:val="none"/>
        </w:rPr>
        <w:t xml:space="preserve">: </w:t>
      </w:r>
      <w:hyperlink r:id="rId17" w:history="1">
        <w:r w:rsidR="008017FE">
          <w:rPr>
            <w:rStyle w:val="Hyperlink"/>
            <w:rFonts w:cs="Arial"/>
            <w:sz w:val="22"/>
            <w:szCs w:val="22"/>
          </w:rPr>
          <w:t>Toolkit for Prosecutors on VAWG Cases Involving Vulnerable Victims</w:t>
        </w:r>
      </w:hyperlink>
      <w:r w:rsidRPr="00EA56BB">
        <w:rPr>
          <w:rStyle w:val="Hyperlink"/>
          <w:rFonts w:cs="Arial"/>
          <w:color w:val="000000"/>
          <w:sz w:val="22"/>
          <w:szCs w:val="22"/>
          <w:u w:val="none"/>
        </w:rPr>
        <w:t xml:space="preserve">, </w:t>
      </w:r>
      <w:hyperlink r:id="rId18" w:history="1">
        <w:r w:rsidRPr="00EA56BB">
          <w:rPr>
            <w:rStyle w:val="Hyperlink"/>
            <w:rFonts w:cs="Arial"/>
            <w:sz w:val="22"/>
            <w:szCs w:val="22"/>
          </w:rPr>
          <w:t>Guidelines on prosecuting cases involving communications sent via social media</w:t>
        </w:r>
      </w:hyperlink>
      <w:r w:rsidRPr="00EA56BB">
        <w:rPr>
          <w:rStyle w:val="Hyperlink"/>
          <w:rFonts w:cs="Arial"/>
          <w:sz w:val="22"/>
          <w:szCs w:val="22"/>
        </w:rPr>
        <w:t>,</w:t>
      </w:r>
      <w:r w:rsidRPr="00EA56BB">
        <w:rPr>
          <w:rStyle w:val="Hyperlink"/>
          <w:rFonts w:cs="Arial"/>
          <w:sz w:val="22"/>
          <w:szCs w:val="22"/>
          <w:u w:val="none"/>
        </w:rPr>
        <w:t xml:space="preserve"> </w:t>
      </w:r>
      <w:hyperlink r:id="rId19" w:history="1">
        <w:r w:rsidR="00FA3F7D" w:rsidRPr="00EA56BB">
          <w:rPr>
            <w:rStyle w:val="Hyperlink"/>
            <w:rFonts w:cs="Arial"/>
            <w:sz w:val="22"/>
            <w:szCs w:val="22"/>
          </w:rPr>
          <w:t>Achieving Best Evidence in criminal proceedings</w:t>
        </w:r>
      </w:hyperlink>
    </w:p>
    <w:p w:rsidR="00552F56" w:rsidRPr="00EA56BB" w:rsidRDefault="00552F56" w:rsidP="00552F56">
      <w:pPr>
        <w:pStyle w:val="Default"/>
        <w:rPr>
          <w:bCs/>
          <w:sz w:val="22"/>
          <w:szCs w:val="22"/>
        </w:rPr>
      </w:pPr>
      <w:bookmarkStart w:id="4" w:name="Section4"/>
    </w:p>
    <w:p w:rsidR="00077096" w:rsidRDefault="00AA7AB3" w:rsidP="00AA7AB3">
      <w:pPr>
        <w:pStyle w:val="Default"/>
        <w:rPr>
          <w:rStyle w:val="Hyperlink"/>
          <w:rFonts w:cs="Arial"/>
          <w:sz w:val="22"/>
          <w:szCs w:val="22"/>
        </w:rPr>
      </w:pPr>
      <w:r w:rsidRPr="00EA56BB">
        <w:rPr>
          <w:b/>
          <w:i/>
          <w:sz w:val="22"/>
          <w:szCs w:val="22"/>
        </w:rPr>
        <w:t>Government:</w:t>
      </w:r>
      <w:r w:rsidRPr="00EA56BB">
        <w:rPr>
          <w:sz w:val="22"/>
          <w:szCs w:val="22"/>
        </w:rPr>
        <w:t xml:space="preserve"> </w:t>
      </w:r>
      <w:hyperlink r:id="rId20" w:history="1">
        <w:r w:rsidRPr="00EA56BB">
          <w:rPr>
            <w:rStyle w:val="Hyperlink"/>
            <w:rFonts w:cs="Arial"/>
            <w:sz w:val="22"/>
            <w:szCs w:val="22"/>
          </w:rPr>
          <w:t>Multi-agency statutory guidance on FGM</w:t>
        </w:r>
      </w:hyperlink>
      <w:r w:rsidR="00843261">
        <w:rPr>
          <w:rStyle w:val="Hyperlink"/>
          <w:rFonts w:cs="Arial"/>
          <w:sz w:val="22"/>
          <w:szCs w:val="22"/>
        </w:rPr>
        <w:t xml:space="preserve">, </w:t>
      </w:r>
      <w:hyperlink r:id="rId21" w:history="1">
        <w:r w:rsidR="00077096">
          <w:rPr>
            <w:rStyle w:val="Hyperlink"/>
            <w:rFonts w:cs="Arial"/>
            <w:sz w:val="22"/>
            <w:szCs w:val="22"/>
          </w:rPr>
          <w:t>FGM guidance for healthcare staff</w:t>
        </w:r>
      </w:hyperlink>
    </w:p>
    <w:p w:rsidR="00843261" w:rsidRPr="00EA56BB" w:rsidRDefault="00843261" w:rsidP="00AA7AB3">
      <w:pPr>
        <w:pStyle w:val="Default"/>
        <w:rPr>
          <w:rStyle w:val="Hyperlink"/>
          <w:rFonts w:cs="Arial"/>
          <w:sz w:val="22"/>
          <w:szCs w:val="22"/>
        </w:rPr>
      </w:pPr>
    </w:p>
    <w:p w:rsidR="00586A79" w:rsidRPr="00EA56BB" w:rsidRDefault="00552F56" w:rsidP="00112178">
      <w:pPr>
        <w:pStyle w:val="Default"/>
        <w:rPr>
          <w:b/>
          <w:bCs/>
          <w:sz w:val="22"/>
          <w:szCs w:val="22"/>
        </w:rPr>
      </w:pPr>
      <w:r w:rsidRPr="00EA56BB">
        <w:rPr>
          <w:b/>
          <w:bCs/>
          <w:sz w:val="22"/>
          <w:szCs w:val="22"/>
        </w:rPr>
        <w:t xml:space="preserve">SECTION </w:t>
      </w:r>
      <w:r w:rsidR="009C0F7C" w:rsidRPr="00EA56BB">
        <w:rPr>
          <w:b/>
          <w:bCs/>
          <w:sz w:val="22"/>
          <w:szCs w:val="22"/>
        </w:rPr>
        <w:t>4</w:t>
      </w:r>
      <w:r w:rsidRPr="00EA56BB">
        <w:rPr>
          <w:b/>
          <w:bCs/>
          <w:sz w:val="22"/>
          <w:szCs w:val="22"/>
        </w:rPr>
        <w:t xml:space="preserve"> - </w:t>
      </w:r>
      <w:r w:rsidR="00586A79" w:rsidRPr="00EA56BB">
        <w:rPr>
          <w:b/>
          <w:bCs/>
          <w:sz w:val="22"/>
          <w:szCs w:val="22"/>
        </w:rPr>
        <w:t>INVESTIGATION AND RISK ASSESSMENTS</w:t>
      </w:r>
    </w:p>
    <w:p w:rsidR="00B77AA5" w:rsidRPr="00EA56BB" w:rsidRDefault="00B77AA5" w:rsidP="00112178">
      <w:pPr>
        <w:pStyle w:val="Default"/>
        <w:rPr>
          <w:b/>
          <w:bCs/>
          <w:sz w:val="22"/>
          <w:szCs w:val="22"/>
        </w:rPr>
      </w:pPr>
    </w:p>
    <w:bookmarkEnd w:id="4"/>
    <w:p w:rsidR="00B600CA" w:rsidRDefault="009C0F7C" w:rsidP="00B600CA">
      <w:pPr>
        <w:pStyle w:val="Default"/>
        <w:rPr>
          <w:bCs/>
          <w:sz w:val="22"/>
          <w:szCs w:val="22"/>
        </w:rPr>
      </w:pPr>
      <w:r w:rsidRPr="00EA56BB">
        <w:rPr>
          <w:bCs/>
          <w:sz w:val="22"/>
          <w:szCs w:val="22"/>
        </w:rPr>
        <w:t>4</w:t>
      </w:r>
      <w:r w:rsidR="00552F56" w:rsidRPr="00EA56BB">
        <w:rPr>
          <w:bCs/>
          <w:sz w:val="22"/>
          <w:szCs w:val="22"/>
        </w:rPr>
        <w:t xml:space="preserve">.1 </w:t>
      </w:r>
      <w:r w:rsidR="00B600CA" w:rsidRPr="00411AA6">
        <w:rPr>
          <w:bCs/>
          <w:sz w:val="22"/>
          <w:szCs w:val="22"/>
        </w:rPr>
        <w:t xml:space="preserve">There must be early consultation between the police and CPS, the timing of which will be determined by the circumstances of each case.  This will focus on building strong cases for prosecution from the outset. </w:t>
      </w:r>
    </w:p>
    <w:p w:rsidR="00B600CA" w:rsidRDefault="00B600CA" w:rsidP="00B600CA">
      <w:pPr>
        <w:pStyle w:val="Default"/>
        <w:rPr>
          <w:bCs/>
          <w:sz w:val="22"/>
          <w:szCs w:val="22"/>
        </w:rPr>
      </w:pPr>
    </w:p>
    <w:p w:rsidR="00B600CA" w:rsidRDefault="00B600CA" w:rsidP="00B600CA">
      <w:pPr>
        <w:pStyle w:val="Default"/>
        <w:rPr>
          <w:sz w:val="22"/>
          <w:szCs w:val="22"/>
          <w:lang w:eastAsia="en-GB"/>
        </w:rPr>
      </w:pPr>
      <w:r>
        <w:rPr>
          <w:sz w:val="22"/>
          <w:szCs w:val="22"/>
          <w:lang w:eastAsia="en-GB"/>
        </w:rPr>
        <w:t xml:space="preserve">4.2 </w:t>
      </w:r>
      <w:r w:rsidRPr="00411AA6">
        <w:rPr>
          <w:sz w:val="22"/>
          <w:szCs w:val="22"/>
          <w:lang w:eastAsia="en-GB"/>
        </w:rPr>
        <w:t>The function of the CPS is not to presume guilt or decide a suspect is guilty, or automatically believe a complainant; it is to make fair, independent and objective assessments about the evidence. CPS prosecutors have a continuing duty to review cases that have been referred to us and charged. There are checks and balances throughout the process which are designed to identify and address issues before a trial, or stop a case when that’s appropriate.</w:t>
      </w:r>
    </w:p>
    <w:p w:rsidR="00031595" w:rsidRDefault="00031595" w:rsidP="00B600CA">
      <w:pPr>
        <w:pStyle w:val="Default"/>
        <w:rPr>
          <w:sz w:val="22"/>
          <w:szCs w:val="22"/>
          <w:lang w:eastAsia="en-GB"/>
        </w:rPr>
      </w:pPr>
    </w:p>
    <w:p w:rsidR="00031595" w:rsidRDefault="00031595" w:rsidP="00031595">
      <w:pPr>
        <w:pStyle w:val="Default"/>
        <w:rPr>
          <w:bCs/>
          <w:sz w:val="22"/>
          <w:szCs w:val="22"/>
        </w:rPr>
      </w:pPr>
      <w:r>
        <w:rPr>
          <w:bCs/>
          <w:sz w:val="22"/>
          <w:szCs w:val="22"/>
        </w:rPr>
        <w:t xml:space="preserve">4.3 </w:t>
      </w:r>
      <w:r w:rsidRPr="00EA56BB">
        <w:rPr>
          <w:bCs/>
          <w:sz w:val="22"/>
          <w:szCs w:val="22"/>
        </w:rPr>
        <w:t>The named FGM leads for the police and CPS will work together to ensure that the investigation and prosecution of FGM is coordinated effectively between agencies (i.e. voluntary sector, education, social care and health).</w:t>
      </w:r>
    </w:p>
    <w:p w:rsidR="00031595" w:rsidRDefault="00031595" w:rsidP="00031595">
      <w:pPr>
        <w:pStyle w:val="Default"/>
        <w:rPr>
          <w:bCs/>
          <w:sz w:val="22"/>
          <w:szCs w:val="22"/>
        </w:rPr>
      </w:pPr>
    </w:p>
    <w:p w:rsidR="00031595" w:rsidRPr="00EA56BB" w:rsidRDefault="00031595" w:rsidP="00031595">
      <w:pPr>
        <w:pStyle w:val="Default"/>
        <w:rPr>
          <w:bCs/>
          <w:sz w:val="22"/>
          <w:szCs w:val="22"/>
        </w:rPr>
      </w:pPr>
      <w:r w:rsidRPr="00EA56BB">
        <w:rPr>
          <w:bCs/>
          <w:sz w:val="22"/>
          <w:szCs w:val="22"/>
        </w:rPr>
        <w:t>4.</w:t>
      </w:r>
      <w:r>
        <w:rPr>
          <w:bCs/>
          <w:sz w:val="22"/>
          <w:szCs w:val="22"/>
        </w:rPr>
        <w:t>4</w:t>
      </w:r>
      <w:r w:rsidRPr="00EA56BB">
        <w:rPr>
          <w:bCs/>
          <w:sz w:val="22"/>
          <w:szCs w:val="22"/>
        </w:rPr>
        <w:t xml:space="preserve"> The investigative team should include an officer who has been trained</w:t>
      </w:r>
      <w:r w:rsidR="008017FE">
        <w:rPr>
          <w:bCs/>
          <w:sz w:val="22"/>
          <w:szCs w:val="22"/>
        </w:rPr>
        <w:t>,</w:t>
      </w:r>
      <w:r w:rsidRPr="00EA56BB">
        <w:rPr>
          <w:bCs/>
          <w:sz w:val="22"/>
          <w:szCs w:val="22"/>
        </w:rPr>
        <w:t xml:space="preserve"> or has awareness of FGM, who will remain attached to the case until the conclusion of the enquiry and any subsequent court proceedings. Key witness statements will be taken by the investigative team.</w:t>
      </w:r>
    </w:p>
    <w:p w:rsidR="00031595" w:rsidRDefault="00031595" w:rsidP="00240EF2">
      <w:pPr>
        <w:pStyle w:val="Default"/>
        <w:rPr>
          <w:bCs/>
          <w:sz w:val="22"/>
          <w:szCs w:val="22"/>
        </w:rPr>
      </w:pPr>
    </w:p>
    <w:p w:rsidR="00240EF2" w:rsidRDefault="00240EF2" w:rsidP="00240EF2">
      <w:pPr>
        <w:pStyle w:val="Default"/>
        <w:rPr>
          <w:bCs/>
          <w:sz w:val="22"/>
          <w:szCs w:val="22"/>
        </w:rPr>
      </w:pPr>
      <w:r>
        <w:rPr>
          <w:bCs/>
          <w:sz w:val="22"/>
          <w:szCs w:val="22"/>
        </w:rPr>
        <w:t>4.</w:t>
      </w:r>
      <w:r w:rsidR="00031595">
        <w:rPr>
          <w:bCs/>
          <w:sz w:val="22"/>
          <w:szCs w:val="22"/>
        </w:rPr>
        <w:t>5</w:t>
      </w:r>
      <w:r>
        <w:rPr>
          <w:bCs/>
          <w:sz w:val="22"/>
          <w:szCs w:val="22"/>
        </w:rPr>
        <w:t xml:space="preserve"> As well as testing the complainant</w:t>
      </w:r>
      <w:r w:rsidR="007C2F6E">
        <w:rPr>
          <w:bCs/>
          <w:sz w:val="22"/>
          <w:szCs w:val="22"/>
        </w:rPr>
        <w:t>’</w:t>
      </w:r>
      <w:r>
        <w:rPr>
          <w:bCs/>
          <w:sz w:val="22"/>
          <w:szCs w:val="22"/>
        </w:rPr>
        <w:t>s account, the police should explore the role and behaviour of the suspect</w:t>
      </w:r>
      <w:r>
        <w:rPr>
          <w:sz w:val="22"/>
          <w:szCs w:val="22"/>
        </w:rPr>
        <w:t xml:space="preserve"> in order to ensure a balanced consideration of the accounts provided ensuring that all available evidence is gathered</w:t>
      </w:r>
      <w:r>
        <w:rPr>
          <w:bCs/>
          <w:sz w:val="22"/>
          <w:szCs w:val="22"/>
        </w:rPr>
        <w:t>:</w:t>
      </w:r>
    </w:p>
    <w:p w:rsidR="00240EF2" w:rsidRPr="00B2474A" w:rsidRDefault="00240EF2" w:rsidP="00240EF2">
      <w:pPr>
        <w:pStyle w:val="Default"/>
        <w:numPr>
          <w:ilvl w:val="0"/>
          <w:numId w:val="30"/>
        </w:numPr>
        <w:rPr>
          <w:bCs/>
          <w:sz w:val="22"/>
          <w:szCs w:val="22"/>
        </w:rPr>
      </w:pPr>
      <w:r w:rsidRPr="00B2474A">
        <w:rPr>
          <w:sz w:val="22"/>
          <w:szCs w:val="22"/>
          <w:lang w:eastAsia="en-GB"/>
        </w:rPr>
        <w:t>How plausible</w:t>
      </w:r>
      <w:r>
        <w:rPr>
          <w:sz w:val="22"/>
          <w:szCs w:val="22"/>
          <w:lang w:eastAsia="en-GB"/>
        </w:rPr>
        <w:t xml:space="preserve"> and consistent</w:t>
      </w:r>
      <w:r w:rsidRPr="00B2474A">
        <w:rPr>
          <w:sz w:val="22"/>
          <w:szCs w:val="22"/>
          <w:lang w:eastAsia="en-GB"/>
        </w:rPr>
        <w:t xml:space="preserve"> is the </w:t>
      </w:r>
      <w:r>
        <w:rPr>
          <w:sz w:val="22"/>
          <w:szCs w:val="22"/>
          <w:lang w:eastAsia="en-GB"/>
        </w:rPr>
        <w:t>suspect’s</w:t>
      </w:r>
      <w:r w:rsidRPr="00B2474A">
        <w:rPr>
          <w:sz w:val="22"/>
          <w:szCs w:val="22"/>
          <w:lang w:eastAsia="en-GB"/>
        </w:rPr>
        <w:t xml:space="preserve"> account? What counter allegations, if any, have been made? </w:t>
      </w:r>
    </w:p>
    <w:p w:rsidR="00240EF2" w:rsidRPr="00B2474A" w:rsidRDefault="00240EF2" w:rsidP="00240EF2">
      <w:pPr>
        <w:pStyle w:val="Default"/>
        <w:numPr>
          <w:ilvl w:val="0"/>
          <w:numId w:val="30"/>
        </w:numPr>
        <w:rPr>
          <w:bCs/>
          <w:sz w:val="22"/>
          <w:szCs w:val="22"/>
        </w:rPr>
      </w:pPr>
      <w:r w:rsidRPr="00B2474A">
        <w:rPr>
          <w:sz w:val="22"/>
          <w:szCs w:val="22"/>
          <w:lang w:eastAsia="en-GB"/>
        </w:rPr>
        <w:t xml:space="preserve">Were there any signs of injury to the </w:t>
      </w:r>
      <w:r>
        <w:rPr>
          <w:sz w:val="22"/>
          <w:szCs w:val="22"/>
          <w:lang w:eastAsia="en-GB"/>
        </w:rPr>
        <w:t>suspect</w:t>
      </w:r>
      <w:r w:rsidRPr="00B2474A">
        <w:rPr>
          <w:sz w:val="22"/>
          <w:szCs w:val="22"/>
          <w:lang w:eastAsia="en-GB"/>
        </w:rPr>
        <w:t xml:space="preserve"> upon arrest (see</w:t>
      </w:r>
      <w:r>
        <w:rPr>
          <w:sz w:val="22"/>
          <w:szCs w:val="22"/>
          <w:lang w:eastAsia="en-GB"/>
        </w:rPr>
        <w:t xml:space="preserve"> </w:t>
      </w:r>
      <w:hyperlink r:id="rId22" w:anchor="a13" w:history="1">
        <w:r>
          <w:rPr>
            <w:rStyle w:val="Hyperlink"/>
            <w:rFonts w:cs="Arial"/>
            <w:sz w:val="22"/>
            <w:szCs w:val="22"/>
            <w:lang w:eastAsia="en-GB"/>
          </w:rPr>
          <w:t>domes</w:t>
        </w:r>
        <w:r>
          <w:rPr>
            <w:rStyle w:val="Hyperlink"/>
            <w:rFonts w:cs="Arial"/>
            <w:sz w:val="22"/>
            <w:szCs w:val="22"/>
            <w:lang w:eastAsia="en-GB"/>
          </w:rPr>
          <w:t>t</w:t>
        </w:r>
        <w:r>
          <w:rPr>
            <w:rStyle w:val="Hyperlink"/>
            <w:rFonts w:cs="Arial"/>
            <w:sz w:val="22"/>
            <w:szCs w:val="22"/>
            <w:lang w:eastAsia="en-GB"/>
          </w:rPr>
          <w:t xml:space="preserve">ic </w:t>
        </w:r>
        <w:r>
          <w:rPr>
            <w:rStyle w:val="Hyperlink"/>
            <w:rFonts w:cs="Arial"/>
            <w:sz w:val="22"/>
            <w:szCs w:val="22"/>
            <w:lang w:eastAsia="en-GB"/>
          </w:rPr>
          <w:t>a</w:t>
        </w:r>
        <w:r>
          <w:rPr>
            <w:rStyle w:val="Hyperlink"/>
            <w:rFonts w:cs="Arial"/>
            <w:sz w:val="22"/>
            <w:szCs w:val="22"/>
            <w:lang w:eastAsia="en-GB"/>
          </w:rPr>
          <w:t>buse guidelines on dealing with self-defence and/or counter-allegations</w:t>
        </w:r>
      </w:hyperlink>
      <w:r>
        <w:rPr>
          <w:sz w:val="22"/>
          <w:szCs w:val="22"/>
          <w:lang w:eastAsia="en-GB"/>
        </w:rPr>
        <w:t>)?</w:t>
      </w:r>
    </w:p>
    <w:p w:rsidR="00240EF2" w:rsidRPr="00B2474A" w:rsidRDefault="00240EF2" w:rsidP="00240EF2">
      <w:pPr>
        <w:pStyle w:val="Default"/>
        <w:numPr>
          <w:ilvl w:val="0"/>
          <w:numId w:val="30"/>
        </w:numPr>
        <w:rPr>
          <w:bCs/>
          <w:sz w:val="22"/>
          <w:szCs w:val="22"/>
        </w:rPr>
      </w:pPr>
      <w:r w:rsidRPr="00B2474A">
        <w:rPr>
          <w:sz w:val="22"/>
          <w:szCs w:val="22"/>
          <w:lang w:eastAsia="en-GB"/>
        </w:rPr>
        <w:t>Were there any allegations made of any other non-violent behaviour that fall within the definition of domestic abuse</w:t>
      </w:r>
      <w:r>
        <w:rPr>
          <w:rStyle w:val="FootnoteReference"/>
          <w:sz w:val="22"/>
          <w:szCs w:val="22"/>
          <w:lang w:eastAsia="en-GB"/>
        </w:rPr>
        <w:footnoteReference w:id="4"/>
      </w:r>
      <w:r w:rsidRPr="00B2474A">
        <w:rPr>
          <w:sz w:val="22"/>
          <w:szCs w:val="22"/>
          <w:lang w:eastAsia="en-GB"/>
        </w:rPr>
        <w:t>?</w:t>
      </w:r>
    </w:p>
    <w:p w:rsidR="00240EF2" w:rsidRPr="00B2474A" w:rsidRDefault="00240EF2" w:rsidP="00240EF2">
      <w:pPr>
        <w:pStyle w:val="Default"/>
        <w:numPr>
          <w:ilvl w:val="0"/>
          <w:numId w:val="30"/>
        </w:numPr>
        <w:rPr>
          <w:bCs/>
          <w:sz w:val="22"/>
          <w:szCs w:val="22"/>
        </w:rPr>
      </w:pPr>
      <w:r w:rsidRPr="00B2474A">
        <w:rPr>
          <w:sz w:val="22"/>
          <w:szCs w:val="22"/>
          <w:lang w:eastAsia="en-GB"/>
        </w:rPr>
        <w:t xml:space="preserve">Are there any contradictions in the </w:t>
      </w:r>
      <w:r>
        <w:rPr>
          <w:sz w:val="22"/>
          <w:szCs w:val="22"/>
          <w:lang w:eastAsia="en-GB"/>
        </w:rPr>
        <w:t>suspect’s</w:t>
      </w:r>
      <w:r w:rsidRPr="00B2474A">
        <w:rPr>
          <w:sz w:val="22"/>
          <w:szCs w:val="22"/>
          <w:lang w:eastAsia="en-GB"/>
        </w:rPr>
        <w:t xml:space="preserve"> account? </w:t>
      </w:r>
    </w:p>
    <w:p w:rsidR="00240EF2" w:rsidRPr="00C81F15" w:rsidRDefault="00240EF2" w:rsidP="00240EF2">
      <w:pPr>
        <w:pStyle w:val="Default"/>
        <w:numPr>
          <w:ilvl w:val="0"/>
          <w:numId w:val="30"/>
        </w:numPr>
        <w:rPr>
          <w:bCs/>
          <w:sz w:val="22"/>
          <w:szCs w:val="22"/>
        </w:rPr>
      </w:pPr>
      <w:r w:rsidRPr="00B2474A">
        <w:rPr>
          <w:sz w:val="22"/>
          <w:szCs w:val="22"/>
          <w:lang w:eastAsia="en-GB"/>
        </w:rPr>
        <w:t xml:space="preserve">Has the </w:t>
      </w:r>
      <w:r>
        <w:rPr>
          <w:sz w:val="22"/>
          <w:szCs w:val="22"/>
          <w:lang w:eastAsia="en-GB"/>
        </w:rPr>
        <w:t>suspect</w:t>
      </w:r>
      <w:r w:rsidRPr="00B2474A">
        <w:rPr>
          <w:sz w:val="22"/>
          <w:szCs w:val="22"/>
          <w:lang w:eastAsia="en-GB"/>
        </w:rPr>
        <w:t xml:space="preserve"> made no comment during interview from which an adverse inference can be drawn? </w:t>
      </w:r>
    </w:p>
    <w:p w:rsidR="00240EF2" w:rsidRDefault="00240EF2" w:rsidP="00240EF2">
      <w:pPr>
        <w:pStyle w:val="Default"/>
        <w:rPr>
          <w:sz w:val="22"/>
          <w:szCs w:val="22"/>
          <w:lang w:eastAsia="en-GB"/>
        </w:rPr>
      </w:pPr>
    </w:p>
    <w:p w:rsidR="00240EF2" w:rsidRDefault="00240EF2" w:rsidP="00240EF2">
      <w:pPr>
        <w:pStyle w:val="Default"/>
        <w:rPr>
          <w:bCs/>
          <w:sz w:val="22"/>
          <w:szCs w:val="22"/>
        </w:rPr>
      </w:pPr>
      <w:r>
        <w:rPr>
          <w:bCs/>
          <w:sz w:val="22"/>
          <w:szCs w:val="22"/>
        </w:rPr>
        <w:t>4.</w:t>
      </w:r>
      <w:r w:rsidR="00031595">
        <w:rPr>
          <w:bCs/>
          <w:sz w:val="22"/>
          <w:szCs w:val="22"/>
        </w:rPr>
        <w:t>6</w:t>
      </w:r>
      <w:r>
        <w:rPr>
          <w:bCs/>
          <w:sz w:val="22"/>
          <w:szCs w:val="22"/>
        </w:rPr>
        <w:t xml:space="preserve"> </w:t>
      </w:r>
      <w:r w:rsidRPr="001705DD">
        <w:rPr>
          <w:bCs/>
          <w:sz w:val="22"/>
          <w:szCs w:val="22"/>
        </w:rPr>
        <w:t>The</w:t>
      </w:r>
      <w:r>
        <w:rPr>
          <w:bCs/>
          <w:sz w:val="22"/>
          <w:szCs w:val="22"/>
        </w:rPr>
        <w:t xml:space="preserve"> </w:t>
      </w:r>
      <w:hyperlink r:id="rId23" w:history="1">
        <w:r w:rsidRPr="0067467C">
          <w:rPr>
            <w:rStyle w:val="Hyperlink"/>
            <w:rFonts w:cs="Arial"/>
            <w:sz w:val="22"/>
            <w:szCs w:val="22"/>
          </w:rPr>
          <w:t xml:space="preserve">Joint NPCC and CPS Domestic Abuse Evidence Checklist </w:t>
        </w:r>
      </w:hyperlink>
      <w:r w:rsidRPr="001705DD">
        <w:rPr>
          <w:bCs/>
          <w:sz w:val="22"/>
          <w:szCs w:val="22"/>
        </w:rPr>
        <w:t xml:space="preserve">will </w:t>
      </w:r>
      <w:r>
        <w:rPr>
          <w:bCs/>
          <w:sz w:val="22"/>
          <w:szCs w:val="22"/>
        </w:rPr>
        <w:t xml:space="preserve">also </w:t>
      </w:r>
      <w:r w:rsidRPr="001705DD">
        <w:rPr>
          <w:bCs/>
          <w:sz w:val="22"/>
          <w:szCs w:val="22"/>
        </w:rPr>
        <w:t xml:space="preserve">be relevant in </w:t>
      </w:r>
      <w:r w:rsidR="00796C2F">
        <w:rPr>
          <w:bCs/>
          <w:sz w:val="22"/>
          <w:szCs w:val="22"/>
        </w:rPr>
        <w:t xml:space="preserve">FGM </w:t>
      </w:r>
      <w:r w:rsidRPr="001705DD">
        <w:rPr>
          <w:bCs/>
          <w:sz w:val="22"/>
          <w:szCs w:val="22"/>
        </w:rPr>
        <w:t xml:space="preserve">cases and should be referred to. </w:t>
      </w:r>
    </w:p>
    <w:p w:rsidR="00031595" w:rsidRDefault="00031595" w:rsidP="00240EF2">
      <w:pPr>
        <w:pStyle w:val="Default"/>
        <w:rPr>
          <w:bCs/>
          <w:sz w:val="22"/>
          <w:szCs w:val="22"/>
        </w:rPr>
      </w:pPr>
    </w:p>
    <w:p w:rsidR="00031595" w:rsidRPr="002922BC" w:rsidRDefault="00031595" w:rsidP="00031595">
      <w:pPr>
        <w:pStyle w:val="Default"/>
        <w:rPr>
          <w:sz w:val="22"/>
          <w:szCs w:val="22"/>
          <w:lang w:eastAsia="en-GB"/>
        </w:rPr>
      </w:pPr>
      <w:r>
        <w:rPr>
          <w:sz w:val="22"/>
          <w:szCs w:val="22"/>
          <w:lang w:eastAsia="en-GB"/>
        </w:rPr>
        <w:t xml:space="preserve">4.7 </w:t>
      </w:r>
      <w:r w:rsidRPr="002922BC">
        <w:rPr>
          <w:sz w:val="22"/>
          <w:szCs w:val="22"/>
          <w:lang w:eastAsia="en-GB"/>
        </w:rPr>
        <w:t>The range of offending behaviour</w:t>
      </w:r>
      <w:r>
        <w:rPr>
          <w:sz w:val="22"/>
          <w:szCs w:val="22"/>
          <w:lang w:eastAsia="en-GB"/>
        </w:rPr>
        <w:t>,</w:t>
      </w:r>
      <w:r w:rsidRPr="002922BC">
        <w:rPr>
          <w:sz w:val="22"/>
          <w:szCs w:val="22"/>
          <w:lang w:eastAsia="en-GB"/>
        </w:rPr>
        <w:t xml:space="preserve"> with particular reference to other crimes</w:t>
      </w:r>
      <w:r>
        <w:rPr>
          <w:sz w:val="22"/>
          <w:szCs w:val="22"/>
          <w:lang w:eastAsia="en-GB"/>
        </w:rPr>
        <w:t>,</w:t>
      </w:r>
      <w:r w:rsidRPr="002922BC">
        <w:rPr>
          <w:sz w:val="22"/>
          <w:szCs w:val="22"/>
          <w:lang w:eastAsia="en-GB"/>
        </w:rPr>
        <w:t xml:space="preserve"> needs to be considered, such as</w:t>
      </w:r>
      <w:r w:rsidR="00723B0D">
        <w:rPr>
          <w:sz w:val="22"/>
          <w:szCs w:val="22"/>
          <w:lang w:eastAsia="en-GB"/>
        </w:rPr>
        <w:t xml:space="preserve"> forced marriage</w:t>
      </w:r>
      <w:r w:rsidR="00A21A4F">
        <w:rPr>
          <w:sz w:val="22"/>
          <w:szCs w:val="22"/>
          <w:lang w:eastAsia="en-GB"/>
        </w:rPr>
        <w:t xml:space="preserve"> (FM)</w:t>
      </w:r>
      <w:r w:rsidR="00D860D9">
        <w:rPr>
          <w:sz w:val="22"/>
          <w:szCs w:val="22"/>
          <w:lang w:eastAsia="en-GB"/>
        </w:rPr>
        <w:t xml:space="preserve"> and </w:t>
      </w:r>
      <w:r w:rsidR="00D860D9" w:rsidRPr="002922BC">
        <w:rPr>
          <w:sz w:val="22"/>
          <w:szCs w:val="22"/>
          <w:lang w:eastAsia="en-GB"/>
        </w:rPr>
        <w:t>rape</w:t>
      </w:r>
      <w:r w:rsidR="00D860D9" w:rsidRPr="002922BC">
        <w:rPr>
          <w:sz w:val="22"/>
          <w:szCs w:val="22"/>
          <w:vertAlign w:val="superscript"/>
          <w:lang w:eastAsia="en-GB"/>
        </w:rPr>
        <w:footnoteReference w:id="5"/>
      </w:r>
      <w:r w:rsidR="00D860D9" w:rsidRPr="002922BC">
        <w:rPr>
          <w:sz w:val="22"/>
          <w:szCs w:val="22"/>
          <w:lang w:eastAsia="en-GB"/>
        </w:rPr>
        <w:t xml:space="preserve">. </w:t>
      </w:r>
      <w:r w:rsidRPr="002922BC">
        <w:rPr>
          <w:sz w:val="22"/>
          <w:szCs w:val="22"/>
          <w:lang w:eastAsia="en-GB"/>
        </w:rPr>
        <w:t xml:space="preserve">Ultimately, prosecutors should be alert to the fact that a </w:t>
      </w:r>
      <w:r w:rsidR="00121D6D">
        <w:rPr>
          <w:sz w:val="22"/>
          <w:szCs w:val="22"/>
          <w:lang w:eastAsia="en-GB"/>
        </w:rPr>
        <w:t>suspect</w:t>
      </w:r>
      <w:r w:rsidRPr="002922BC">
        <w:rPr>
          <w:sz w:val="22"/>
          <w:szCs w:val="22"/>
          <w:lang w:eastAsia="en-GB"/>
        </w:rPr>
        <w:t xml:space="preserve"> will follow a course of conduct which is used to control, coerce, dominate or exploit a complainant.  Identification of the triggers for abuse will assist in understanding the context of the offending. These issues should be considered as risk factors, rather than as causal links to the offending behaviour, and will assist prosecutors in their consideration of the public interest.  This will also assist when considering factors to be taken into account for bail applications and/or terms for restraining orders at later stages of the prosecution process.</w:t>
      </w:r>
    </w:p>
    <w:p w:rsidR="00240EF2" w:rsidRPr="00411AA6" w:rsidRDefault="00240EF2" w:rsidP="00B600CA">
      <w:pPr>
        <w:pStyle w:val="Default"/>
        <w:rPr>
          <w:bCs/>
          <w:sz w:val="22"/>
          <w:szCs w:val="22"/>
        </w:rPr>
      </w:pPr>
    </w:p>
    <w:p w:rsidR="00032509" w:rsidRPr="00EA56BB" w:rsidRDefault="009C0F7C" w:rsidP="001705DD">
      <w:pPr>
        <w:pStyle w:val="Default"/>
        <w:rPr>
          <w:bCs/>
          <w:sz w:val="22"/>
          <w:szCs w:val="22"/>
        </w:rPr>
      </w:pPr>
      <w:r w:rsidRPr="00EA56BB">
        <w:rPr>
          <w:bCs/>
          <w:sz w:val="22"/>
          <w:szCs w:val="22"/>
        </w:rPr>
        <w:t>4</w:t>
      </w:r>
      <w:r w:rsidR="00240EF2">
        <w:rPr>
          <w:bCs/>
          <w:sz w:val="22"/>
          <w:szCs w:val="22"/>
        </w:rPr>
        <w:t>.</w:t>
      </w:r>
      <w:r w:rsidR="00031595">
        <w:rPr>
          <w:bCs/>
          <w:sz w:val="22"/>
          <w:szCs w:val="22"/>
        </w:rPr>
        <w:t>8</w:t>
      </w:r>
      <w:r w:rsidR="00032509" w:rsidRPr="00EA56BB">
        <w:rPr>
          <w:bCs/>
          <w:sz w:val="22"/>
          <w:szCs w:val="22"/>
        </w:rPr>
        <w:t xml:space="preserve"> Any medical examination of the </w:t>
      </w:r>
      <w:r w:rsidR="007152ED">
        <w:rPr>
          <w:bCs/>
          <w:sz w:val="22"/>
          <w:szCs w:val="22"/>
        </w:rPr>
        <w:t>complainant</w:t>
      </w:r>
      <w:r w:rsidR="00032509" w:rsidRPr="00EA56BB">
        <w:rPr>
          <w:bCs/>
          <w:sz w:val="22"/>
          <w:szCs w:val="22"/>
        </w:rPr>
        <w:t xml:space="preserve"> will take place at the earliest opportunity in a dedicated examination suite to ensure the most effective </w:t>
      </w:r>
      <w:r w:rsidR="007152ED">
        <w:rPr>
          <w:bCs/>
          <w:sz w:val="22"/>
          <w:szCs w:val="22"/>
        </w:rPr>
        <w:t>complainant</w:t>
      </w:r>
      <w:r w:rsidR="00032509" w:rsidRPr="00EA56BB">
        <w:rPr>
          <w:bCs/>
          <w:sz w:val="22"/>
          <w:szCs w:val="22"/>
        </w:rPr>
        <w:t xml:space="preserve"> care and the integrity of evidence. The specific requirements of </w:t>
      </w:r>
      <w:r w:rsidR="007152ED">
        <w:rPr>
          <w:bCs/>
          <w:sz w:val="22"/>
          <w:szCs w:val="22"/>
        </w:rPr>
        <w:t>complainant</w:t>
      </w:r>
      <w:r w:rsidR="00032509" w:rsidRPr="00EA56BB">
        <w:rPr>
          <w:bCs/>
          <w:sz w:val="22"/>
          <w:szCs w:val="22"/>
        </w:rPr>
        <w:t xml:space="preserve">s with additional needs will always be considered. This may include assistance with transport or the use of interpreters etc. </w:t>
      </w:r>
    </w:p>
    <w:p w:rsidR="009D7DBF" w:rsidRPr="00EA56BB" w:rsidRDefault="009D7DBF" w:rsidP="001705DD">
      <w:pPr>
        <w:pStyle w:val="Default"/>
        <w:rPr>
          <w:bCs/>
          <w:sz w:val="22"/>
          <w:szCs w:val="22"/>
        </w:rPr>
      </w:pPr>
    </w:p>
    <w:p w:rsidR="009D7DBF" w:rsidRDefault="009C0F7C" w:rsidP="001705DD">
      <w:pPr>
        <w:pStyle w:val="Default"/>
        <w:rPr>
          <w:bCs/>
          <w:sz w:val="22"/>
          <w:szCs w:val="22"/>
        </w:rPr>
      </w:pPr>
      <w:r w:rsidRPr="00EA56BB">
        <w:rPr>
          <w:bCs/>
          <w:sz w:val="22"/>
          <w:szCs w:val="22"/>
        </w:rPr>
        <w:t>4</w:t>
      </w:r>
      <w:r w:rsidR="009D7DBF" w:rsidRPr="00EA56BB">
        <w:rPr>
          <w:bCs/>
          <w:sz w:val="22"/>
          <w:szCs w:val="22"/>
        </w:rPr>
        <w:t>.</w:t>
      </w:r>
      <w:r w:rsidR="00031595">
        <w:rPr>
          <w:bCs/>
          <w:sz w:val="22"/>
          <w:szCs w:val="22"/>
        </w:rPr>
        <w:t>9</w:t>
      </w:r>
      <w:r w:rsidR="009D7DBF" w:rsidRPr="00EA56BB">
        <w:rPr>
          <w:bCs/>
          <w:sz w:val="22"/>
          <w:szCs w:val="22"/>
        </w:rPr>
        <w:t xml:space="preserve"> The medical examination of the </w:t>
      </w:r>
      <w:r w:rsidR="007152ED">
        <w:rPr>
          <w:bCs/>
          <w:sz w:val="22"/>
          <w:szCs w:val="22"/>
        </w:rPr>
        <w:t>complainant</w:t>
      </w:r>
      <w:r w:rsidR="009D7DBF" w:rsidRPr="00EA56BB">
        <w:rPr>
          <w:bCs/>
          <w:sz w:val="22"/>
          <w:szCs w:val="22"/>
        </w:rPr>
        <w:t xml:space="preserve"> should be carried out by a p</w:t>
      </w:r>
      <w:r w:rsidR="00992C7A" w:rsidRPr="00EA56BB">
        <w:rPr>
          <w:bCs/>
          <w:sz w:val="22"/>
          <w:szCs w:val="22"/>
        </w:rPr>
        <w:t>a</w:t>
      </w:r>
      <w:r w:rsidR="009D7DBF" w:rsidRPr="00EA56BB">
        <w:rPr>
          <w:bCs/>
          <w:sz w:val="22"/>
          <w:szCs w:val="22"/>
        </w:rPr>
        <w:t xml:space="preserve">ediatrician with the relevant skills (very often in a specialist </w:t>
      </w:r>
      <w:r w:rsidR="008E44CE">
        <w:rPr>
          <w:bCs/>
          <w:sz w:val="22"/>
          <w:szCs w:val="22"/>
        </w:rPr>
        <w:t xml:space="preserve">paediatric FGM </w:t>
      </w:r>
      <w:r w:rsidR="009D7DBF" w:rsidRPr="00EA56BB">
        <w:rPr>
          <w:bCs/>
          <w:sz w:val="22"/>
          <w:szCs w:val="22"/>
        </w:rPr>
        <w:t>clinic</w:t>
      </w:r>
      <w:r w:rsidR="008E44CE">
        <w:rPr>
          <w:bCs/>
          <w:sz w:val="22"/>
          <w:szCs w:val="22"/>
        </w:rPr>
        <w:t xml:space="preserve"> or a dedicated clinic seeing children in a SARC</w:t>
      </w:r>
      <w:r w:rsidR="009D7DBF" w:rsidRPr="00EA56BB">
        <w:rPr>
          <w:bCs/>
          <w:sz w:val="22"/>
          <w:szCs w:val="22"/>
        </w:rPr>
        <w:t xml:space="preserve">). Whilst the options vary nationally, </w:t>
      </w:r>
      <w:r w:rsidR="008E44CE">
        <w:rPr>
          <w:bCs/>
          <w:sz w:val="22"/>
          <w:szCs w:val="22"/>
        </w:rPr>
        <w:t xml:space="preserve">the SARC national network has some form of paediatric service on offer </w:t>
      </w:r>
      <w:r w:rsidR="009D7DBF" w:rsidRPr="00EA56BB">
        <w:rPr>
          <w:bCs/>
          <w:sz w:val="22"/>
          <w:szCs w:val="22"/>
        </w:rPr>
        <w:t xml:space="preserve">to examine children or Young People who are </w:t>
      </w:r>
      <w:proofErr w:type="gramStart"/>
      <w:r w:rsidR="007152ED">
        <w:rPr>
          <w:bCs/>
          <w:sz w:val="22"/>
          <w:szCs w:val="22"/>
        </w:rPr>
        <w:t>complainant</w:t>
      </w:r>
      <w:r w:rsidR="007C2F6E">
        <w:rPr>
          <w:bCs/>
          <w:sz w:val="22"/>
          <w:szCs w:val="22"/>
        </w:rPr>
        <w:t>’</w:t>
      </w:r>
      <w:r w:rsidR="009D7DBF" w:rsidRPr="00EA56BB">
        <w:rPr>
          <w:bCs/>
          <w:sz w:val="22"/>
          <w:szCs w:val="22"/>
        </w:rPr>
        <w:t>s</w:t>
      </w:r>
      <w:proofErr w:type="gramEnd"/>
      <w:r w:rsidR="009D7DBF" w:rsidRPr="00EA56BB">
        <w:rPr>
          <w:bCs/>
          <w:sz w:val="22"/>
          <w:szCs w:val="22"/>
        </w:rPr>
        <w:t xml:space="preserve"> of sexual violen</w:t>
      </w:r>
      <w:r w:rsidR="00453137" w:rsidRPr="00EA56BB">
        <w:rPr>
          <w:bCs/>
          <w:sz w:val="22"/>
          <w:szCs w:val="22"/>
        </w:rPr>
        <w:t xml:space="preserve">ce will have the skills to see </w:t>
      </w:r>
      <w:r w:rsidR="009D7DBF" w:rsidRPr="00EA56BB">
        <w:rPr>
          <w:bCs/>
          <w:sz w:val="22"/>
          <w:szCs w:val="22"/>
        </w:rPr>
        <w:t>children</w:t>
      </w:r>
      <w:r w:rsidR="00453137" w:rsidRPr="00EA56BB">
        <w:rPr>
          <w:bCs/>
          <w:sz w:val="22"/>
          <w:szCs w:val="22"/>
        </w:rPr>
        <w:t xml:space="preserve"> who have undergone FGM</w:t>
      </w:r>
      <w:r w:rsidR="009D7DBF" w:rsidRPr="00EA56BB">
        <w:rPr>
          <w:bCs/>
          <w:sz w:val="22"/>
          <w:szCs w:val="22"/>
        </w:rPr>
        <w:t xml:space="preserve">. Where practicable the wishes of the </w:t>
      </w:r>
      <w:r w:rsidR="007152ED">
        <w:rPr>
          <w:bCs/>
          <w:sz w:val="22"/>
          <w:szCs w:val="22"/>
        </w:rPr>
        <w:t>complainant</w:t>
      </w:r>
      <w:r w:rsidR="009D7DBF" w:rsidRPr="00EA56BB">
        <w:rPr>
          <w:bCs/>
          <w:sz w:val="22"/>
          <w:szCs w:val="22"/>
        </w:rPr>
        <w:t xml:space="preserve"> will be taken into account and adhered to in terms of the gender and or ethnicity of the Forensic Medical Examiner (FME) or Forensic Nurse Practitioner (FNP).</w:t>
      </w:r>
    </w:p>
    <w:p w:rsidR="006E3A50" w:rsidRDefault="006E3A50" w:rsidP="001705DD">
      <w:pPr>
        <w:pStyle w:val="Default"/>
        <w:rPr>
          <w:bCs/>
          <w:sz w:val="22"/>
          <w:szCs w:val="22"/>
        </w:rPr>
      </w:pPr>
    </w:p>
    <w:p w:rsidR="006E3A50" w:rsidRPr="009A2091" w:rsidRDefault="006E3A50" w:rsidP="001705DD">
      <w:pPr>
        <w:pStyle w:val="Default"/>
        <w:rPr>
          <w:bCs/>
          <w:iCs/>
          <w:sz w:val="22"/>
          <w:szCs w:val="22"/>
        </w:rPr>
      </w:pPr>
      <w:r>
        <w:rPr>
          <w:bCs/>
          <w:sz w:val="22"/>
          <w:szCs w:val="22"/>
        </w:rPr>
        <w:t>4.</w:t>
      </w:r>
      <w:r w:rsidR="00031595">
        <w:rPr>
          <w:bCs/>
          <w:sz w:val="22"/>
          <w:szCs w:val="22"/>
        </w:rPr>
        <w:t>10</w:t>
      </w:r>
      <w:r w:rsidR="00240EF2">
        <w:rPr>
          <w:bCs/>
          <w:sz w:val="22"/>
          <w:szCs w:val="22"/>
        </w:rPr>
        <w:t xml:space="preserve"> </w:t>
      </w:r>
      <w:r w:rsidR="009A2091">
        <w:rPr>
          <w:bCs/>
          <w:sz w:val="22"/>
          <w:szCs w:val="22"/>
        </w:rPr>
        <w:t>It is recommended the initial</w:t>
      </w:r>
      <w:r>
        <w:rPr>
          <w:bCs/>
          <w:sz w:val="22"/>
          <w:szCs w:val="22"/>
        </w:rPr>
        <w:t xml:space="preserve"> </w:t>
      </w:r>
      <w:r w:rsidR="009A2091">
        <w:rPr>
          <w:bCs/>
          <w:sz w:val="22"/>
          <w:szCs w:val="22"/>
        </w:rPr>
        <w:t>e</w:t>
      </w:r>
      <w:r w:rsidR="009A2091" w:rsidRPr="009A2091">
        <w:rPr>
          <w:bCs/>
          <w:iCs/>
          <w:sz w:val="22"/>
          <w:szCs w:val="22"/>
        </w:rPr>
        <w:t xml:space="preserve">xamination </w:t>
      </w:r>
      <w:r w:rsidR="009A2091">
        <w:rPr>
          <w:bCs/>
          <w:iCs/>
          <w:sz w:val="22"/>
          <w:szCs w:val="22"/>
        </w:rPr>
        <w:t>is</w:t>
      </w:r>
      <w:r w:rsidR="009A2091" w:rsidRPr="009A2091">
        <w:rPr>
          <w:bCs/>
          <w:iCs/>
          <w:sz w:val="22"/>
          <w:szCs w:val="22"/>
        </w:rPr>
        <w:t xml:space="preserve"> visually recorded and captured on </w:t>
      </w:r>
      <w:r w:rsidR="000456F7">
        <w:rPr>
          <w:bCs/>
          <w:iCs/>
          <w:sz w:val="22"/>
          <w:szCs w:val="22"/>
        </w:rPr>
        <w:t xml:space="preserve">DVD or </w:t>
      </w:r>
      <w:r w:rsidR="009A2091" w:rsidRPr="009A2091">
        <w:rPr>
          <w:bCs/>
          <w:iCs/>
          <w:sz w:val="22"/>
          <w:szCs w:val="22"/>
        </w:rPr>
        <w:t xml:space="preserve">CD </w:t>
      </w:r>
      <w:r w:rsidR="000456F7">
        <w:rPr>
          <w:bCs/>
          <w:iCs/>
          <w:sz w:val="22"/>
          <w:szCs w:val="22"/>
        </w:rPr>
        <w:t>and include</w:t>
      </w:r>
      <w:r w:rsidR="00734373">
        <w:rPr>
          <w:bCs/>
          <w:iCs/>
          <w:sz w:val="22"/>
          <w:szCs w:val="22"/>
        </w:rPr>
        <w:t>s</w:t>
      </w:r>
      <w:r w:rsidR="000456F7">
        <w:rPr>
          <w:bCs/>
          <w:iCs/>
          <w:sz w:val="22"/>
          <w:szCs w:val="22"/>
        </w:rPr>
        <w:t xml:space="preserve"> the use of </w:t>
      </w:r>
      <w:r w:rsidR="009A2091" w:rsidRPr="009A2091">
        <w:rPr>
          <w:bCs/>
          <w:iCs/>
          <w:sz w:val="22"/>
          <w:szCs w:val="22"/>
        </w:rPr>
        <w:t xml:space="preserve">the </w:t>
      </w:r>
      <w:proofErr w:type="spellStart"/>
      <w:r w:rsidR="009A2091" w:rsidRPr="009A2091">
        <w:rPr>
          <w:bCs/>
          <w:iCs/>
          <w:sz w:val="22"/>
          <w:szCs w:val="22"/>
        </w:rPr>
        <w:t>colposcope</w:t>
      </w:r>
      <w:proofErr w:type="spellEnd"/>
      <w:r w:rsidR="009A2091" w:rsidRPr="009A2091">
        <w:rPr>
          <w:bCs/>
          <w:iCs/>
          <w:sz w:val="22"/>
          <w:szCs w:val="22"/>
        </w:rPr>
        <w:t xml:space="preserve"> which is used in the SARC. This will then be a visual record of the examination which can be made available to the</w:t>
      </w:r>
      <w:r w:rsidR="009A2091">
        <w:rPr>
          <w:bCs/>
          <w:iCs/>
          <w:sz w:val="22"/>
          <w:szCs w:val="22"/>
        </w:rPr>
        <w:t xml:space="preserve"> medical expert and the</w:t>
      </w:r>
      <w:r w:rsidR="009A2091" w:rsidRPr="009A2091">
        <w:rPr>
          <w:bCs/>
          <w:iCs/>
          <w:sz w:val="22"/>
          <w:szCs w:val="22"/>
        </w:rPr>
        <w:t xml:space="preserve"> defence in the event of any subsequent trial. The disc is encrypted and forms part of the notes of the medical examination. It is extremely important that the recording is of good quality. This recording should accompany full and detailed notes of the medical examination</w:t>
      </w:r>
      <w:r w:rsidR="009A2091" w:rsidRPr="009A2091">
        <w:rPr>
          <w:bCs/>
          <w:iCs/>
          <w:sz w:val="22"/>
          <w:szCs w:val="22"/>
          <w:vertAlign w:val="superscript"/>
        </w:rPr>
        <w:footnoteReference w:id="6"/>
      </w:r>
      <w:r w:rsidR="009A2091" w:rsidRPr="009A2091">
        <w:rPr>
          <w:bCs/>
          <w:iCs/>
          <w:sz w:val="22"/>
          <w:szCs w:val="22"/>
        </w:rPr>
        <w:t>.</w:t>
      </w:r>
      <w:r w:rsidR="009A2091">
        <w:rPr>
          <w:bCs/>
          <w:iCs/>
          <w:sz w:val="22"/>
          <w:szCs w:val="22"/>
        </w:rPr>
        <w:t xml:space="preserve"> Recording the initial examination </w:t>
      </w:r>
      <w:r>
        <w:rPr>
          <w:bCs/>
          <w:sz w:val="22"/>
          <w:szCs w:val="22"/>
        </w:rPr>
        <w:t>may reduc</w:t>
      </w:r>
      <w:r w:rsidR="00967571">
        <w:rPr>
          <w:bCs/>
          <w:sz w:val="22"/>
          <w:szCs w:val="22"/>
        </w:rPr>
        <w:t>e</w:t>
      </w:r>
      <w:r>
        <w:rPr>
          <w:bCs/>
          <w:sz w:val="22"/>
          <w:szCs w:val="22"/>
        </w:rPr>
        <w:t xml:space="preserve"> </w:t>
      </w:r>
      <w:r w:rsidR="00967571">
        <w:rPr>
          <w:bCs/>
          <w:sz w:val="22"/>
          <w:szCs w:val="22"/>
        </w:rPr>
        <w:t>the</w:t>
      </w:r>
      <w:r>
        <w:rPr>
          <w:bCs/>
          <w:sz w:val="22"/>
          <w:szCs w:val="22"/>
        </w:rPr>
        <w:t xml:space="preserve"> distress caused to the </w:t>
      </w:r>
      <w:r w:rsidR="007152ED">
        <w:rPr>
          <w:bCs/>
          <w:sz w:val="22"/>
          <w:szCs w:val="22"/>
        </w:rPr>
        <w:t>complainant</w:t>
      </w:r>
      <w:r>
        <w:rPr>
          <w:bCs/>
          <w:sz w:val="22"/>
          <w:szCs w:val="22"/>
        </w:rPr>
        <w:t xml:space="preserve"> as they may only need one examination if the initial one is recorded. </w:t>
      </w:r>
    </w:p>
    <w:p w:rsidR="006E3A50" w:rsidRDefault="006E3A50" w:rsidP="001705DD">
      <w:pPr>
        <w:pStyle w:val="Default"/>
        <w:rPr>
          <w:bCs/>
          <w:sz w:val="22"/>
          <w:szCs w:val="22"/>
        </w:rPr>
      </w:pPr>
    </w:p>
    <w:p w:rsidR="00A81402" w:rsidRPr="00EA56BB" w:rsidRDefault="006E3A50" w:rsidP="001705DD">
      <w:pPr>
        <w:pStyle w:val="Default"/>
        <w:rPr>
          <w:bCs/>
          <w:sz w:val="22"/>
          <w:szCs w:val="22"/>
        </w:rPr>
      </w:pPr>
      <w:r>
        <w:rPr>
          <w:bCs/>
          <w:sz w:val="22"/>
          <w:szCs w:val="22"/>
        </w:rPr>
        <w:t>4.</w:t>
      </w:r>
      <w:r w:rsidR="00240EF2">
        <w:rPr>
          <w:bCs/>
          <w:sz w:val="22"/>
          <w:szCs w:val="22"/>
        </w:rPr>
        <w:t>1</w:t>
      </w:r>
      <w:r w:rsidR="00031595">
        <w:rPr>
          <w:bCs/>
          <w:sz w:val="22"/>
          <w:szCs w:val="22"/>
        </w:rPr>
        <w:t>1</w:t>
      </w:r>
      <w:r w:rsidR="00A81402" w:rsidRPr="00EA56BB">
        <w:rPr>
          <w:bCs/>
          <w:sz w:val="22"/>
          <w:szCs w:val="22"/>
        </w:rPr>
        <w:t xml:space="preserve"> The police will provide the forensic service provider with a copy of the </w:t>
      </w:r>
      <w:r w:rsidR="007152ED">
        <w:rPr>
          <w:bCs/>
          <w:sz w:val="22"/>
          <w:szCs w:val="22"/>
        </w:rPr>
        <w:t>complainant</w:t>
      </w:r>
      <w:r w:rsidR="00A81402" w:rsidRPr="00EA56BB">
        <w:rPr>
          <w:bCs/>
          <w:sz w:val="22"/>
          <w:szCs w:val="22"/>
        </w:rPr>
        <w:t>’s statement or a note of thei</w:t>
      </w:r>
      <w:r w:rsidR="00612289" w:rsidRPr="00EA56BB">
        <w:rPr>
          <w:bCs/>
          <w:sz w:val="22"/>
          <w:szCs w:val="22"/>
        </w:rPr>
        <w:t>r visually recorded interview (M</w:t>
      </w:r>
      <w:r w:rsidR="00A81402" w:rsidRPr="00EA56BB">
        <w:rPr>
          <w:bCs/>
          <w:sz w:val="22"/>
          <w:szCs w:val="22"/>
        </w:rPr>
        <w:t>G15 ROVI) and with any MG3 provided by CPS to inform the analysis of forensic submission.</w:t>
      </w:r>
    </w:p>
    <w:p w:rsidR="00032509" w:rsidRPr="00EA56BB" w:rsidRDefault="00032509" w:rsidP="001705DD">
      <w:pPr>
        <w:pStyle w:val="Default"/>
        <w:rPr>
          <w:bCs/>
          <w:sz w:val="22"/>
          <w:szCs w:val="22"/>
        </w:rPr>
      </w:pPr>
    </w:p>
    <w:p w:rsidR="00F12887" w:rsidRPr="00EA56BB" w:rsidRDefault="009C0F7C" w:rsidP="001705DD">
      <w:pPr>
        <w:pStyle w:val="Default"/>
        <w:rPr>
          <w:bCs/>
          <w:sz w:val="22"/>
          <w:szCs w:val="22"/>
          <w:lang w:val="en-US"/>
        </w:rPr>
      </w:pPr>
      <w:r w:rsidRPr="00EA56BB">
        <w:rPr>
          <w:bCs/>
          <w:sz w:val="22"/>
          <w:szCs w:val="22"/>
        </w:rPr>
        <w:t>4</w:t>
      </w:r>
      <w:r w:rsidR="006E3A50">
        <w:rPr>
          <w:bCs/>
          <w:sz w:val="22"/>
          <w:szCs w:val="22"/>
        </w:rPr>
        <w:t>.</w:t>
      </w:r>
      <w:r w:rsidR="00240EF2">
        <w:rPr>
          <w:bCs/>
          <w:sz w:val="22"/>
          <w:szCs w:val="22"/>
        </w:rPr>
        <w:t>1</w:t>
      </w:r>
      <w:r w:rsidR="00031595">
        <w:rPr>
          <w:bCs/>
          <w:sz w:val="22"/>
          <w:szCs w:val="22"/>
        </w:rPr>
        <w:t>2</w:t>
      </w:r>
      <w:r w:rsidR="00F12887" w:rsidRPr="00EA56BB">
        <w:rPr>
          <w:bCs/>
          <w:sz w:val="22"/>
          <w:szCs w:val="22"/>
        </w:rPr>
        <w:t xml:space="preserve"> </w:t>
      </w:r>
      <w:r w:rsidR="00F12887" w:rsidRPr="00EA56BB">
        <w:rPr>
          <w:bCs/>
          <w:sz w:val="22"/>
          <w:szCs w:val="22"/>
          <w:lang w:val="en-US"/>
        </w:rPr>
        <w:t>A second opinion may be required to confirm FGM</w:t>
      </w:r>
      <w:r w:rsidR="00607326">
        <w:rPr>
          <w:bCs/>
          <w:sz w:val="22"/>
          <w:szCs w:val="22"/>
          <w:lang w:val="en-US"/>
        </w:rPr>
        <w:t xml:space="preserve"> for the purposes of prosecution</w:t>
      </w:r>
      <w:r w:rsidR="00F12887" w:rsidRPr="00EA56BB">
        <w:rPr>
          <w:bCs/>
          <w:sz w:val="22"/>
          <w:szCs w:val="22"/>
          <w:lang w:val="en-US"/>
        </w:rPr>
        <w:t>. The police will, as soon as is reasonably practicable, provide the recommended expert with all relevant material, including any photographic or video evidence to inform their assessment.</w:t>
      </w:r>
      <w:r w:rsidR="00612289" w:rsidRPr="00EA56BB">
        <w:rPr>
          <w:bCs/>
          <w:sz w:val="22"/>
          <w:szCs w:val="22"/>
          <w:lang w:val="en-US"/>
        </w:rPr>
        <w:t xml:space="preserve"> Please see </w:t>
      </w:r>
      <w:hyperlink w:anchor="Section5" w:history="1">
        <w:r w:rsidR="00612289" w:rsidRPr="00EA56BB">
          <w:rPr>
            <w:rStyle w:val="Hyperlink"/>
            <w:rFonts w:cs="Arial"/>
            <w:bCs/>
            <w:sz w:val="22"/>
            <w:szCs w:val="22"/>
            <w:lang w:val="en-US"/>
          </w:rPr>
          <w:t>section 5 on instructi</w:t>
        </w:r>
        <w:r w:rsidR="00612289" w:rsidRPr="00EA56BB">
          <w:rPr>
            <w:rStyle w:val="Hyperlink"/>
            <w:rFonts w:cs="Arial"/>
            <w:bCs/>
            <w:sz w:val="22"/>
            <w:szCs w:val="22"/>
            <w:lang w:val="en-US"/>
          </w:rPr>
          <w:t>n</w:t>
        </w:r>
        <w:r w:rsidR="00612289" w:rsidRPr="00EA56BB">
          <w:rPr>
            <w:rStyle w:val="Hyperlink"/>
            <w:rFonts w:cs="Arial"/>
            <w:bCs/>
            <w:sz w:val="22"/>
            <w:szCs w:val="22"/>
            <w:lang w:val="en-US"/>
          </w:rPr>
          <w:t>g medical experts.</w:t>
        </w:r>
      </w:hyperlink>
    </w:p>
    <w:p w:rsidR="002849CF" w:rsidRPr="00EA56BB" w:rsidRDefault="002849CF" w:rsidP="001705DD">
      <w:pPr>
        <w:pStyle w:val="Default"/>
        <w:rPr>
          <w:bCs/>
          <w:sz w:val="22"/>
          <w:szCs w:val="22"/>
          <w:lang w:val="en-US"/>
        </w:rPr>
      </w:pPr>
    </w:p>
    <w:p w:rsidR="00586A79" w:rsidRPr="00EA56BB" w:rsidRDefault="009C0F7C" w:rsidP="001705DD">
      <w:pPr>
        <w:pStyle w:val="Default"/>
        <w:rPr>
          <w:sz w:val="22"/>
          <w:szCs w:val="22"/>
          <w:lang w:eastAsia="en-GB"/>
        </w:rPr>
      </w:pPr>
      <w:r w:rsidRPr="00EA56BB">
        <w:rPr>
          <w:bCs/>
          <w:sz w:val="22"/>
          <w:szCs w:val="22"/>
        </w:rPr>
        <w:t>4</w:t>
      </w:r>
      <w:r w:rsidR="006C753A" w:rsidRPr="00EA56BB">
        <w:rPr>
          <w:bCs/>
          <w:sz w:val="22"/>
          <w:szCs w:val="22"/>
        </w:rPr>
        <w:t>.</w:t>
      </w:r>
      <w:r w:rsidR="00240EF2">
        <w:rPr>
          <w:bCs/>
          <w:sz w:val="22"/>
          <w:szCs w:val="22"/>
        </w:rPr>
        <w:t>1</w:t>
      </w:r>
      <w:r w:rsidR="00031595">
        <w:rPr>
          <w:bCs/>
          <w:sz w:val="22"/>
          <w:szCs w:val="22"/>
        </w:rPr>
        <w:t>3</w:t>
      </w:r>
      <w:r w:rsidR="006C753A" w:rsidRPr="00EA56BB">
        <w:rPr>
          <w:bCs/>
          <w:sz w:val="22"/>
          <w:szCs w:val="22"/>
        </w:rPr>
        <w:t xml:space="preserve"> </w:t>
      </w:r>
      <w:r w:rsidR="00586A79" w:rsidRPr="00EA56BB">
        <w:rPr>
          <w:sz w:val="22"/>
          <w:szCs w:val="22"/>
          <w:lang w:eastAsia="en-GB"/>
        </w:rPr>
        <w:t xml:space="preserve">A clear and coherent account from the </w:t>
      </w:r>
      <w:r w:rsidR="007152ED">
        <w:rPr>
          <w:sz w:val="22"/>
          <w:szCs w:val="22"/>
          <w:lang w:eastAsia="en-GB"/>
        </w:rPr>
        <w:t>complainant</w:t>
      </w:r>
      <w:r w:rsidR="00586A79" w:rsidRPr="00EA56BB">
        <w:rPr>
          <w:sz w:val="22"/>
          <w:szCs w:val="22"/>
          <w:lang w:eastAsia="en-GB"/>
        </w:rPr>
        <w:t xml:space="preserve"> is reliant upon their powers of recall/concentration, their cognition of the events and their ability to communicate.  </w:t>
      </w:r>
      <w:r w:rsidR="00586A79" w:rsidRPr="00EA56BB">
        <w:rPr>
          <w:sz w:val="22"/>
          <w:szCs w:val="22"/>
        </w:rPr>
        <w:t>A number of issues can impact on the precision or the detail of the account provided</w:t>
      </w:r>
      <w:r w:rsidR="00AC6614" w:rsidRPr="00EA56BB">
        <w:rPr>
          <w:sz w:val="22"/>
          <w:szCs w:val="22"/>
        </w:rPr>
        <w:t xml:space="preserve"> e.g. drug and alcohol use, mental </w:t>
      </w:r>
      <w:r w:rsidR="001E0BB2" w:rsidRPr="00EA56BB">
        <w:rPr>
          <w:sz w:val="22"/>
          <w:szCs w:val="22"/>
        </w:rPr>
        <w:t xml:space="preserve">health </w:t>
      </w:r>
      <w:r w:rsidR="00AC6614" w:rsidRPr="00EA56BB">
        <w:rPr>
          <w:sz w:val="22"/>
          <w:szCs w:val="22"/>
        </w:rPr>
        <w:t>and physical disabilities</w:t>
      </w:r>
      <w:r w:rsidR="00586A79" w:rsidRPr="00EA56BB">
        <w:rPr>
          <w:sz w:val="22"/>
          <w:szCs w:val="22"/>
        </w:rPr>
        <w:t xml:space="preserve">. Police and prosecutors should refer to the </w:t>
      </w:r>
      <w:hyperlink r:id="rId24" w:history="1">
        <w:r w:rsidR="00196576">
          <w:rPr>
            <w:rStyle w:val="Hyperlink"/>
            <w:rFonts w:cs="Arial"/>
            <w:sz w:val="22"/>
            <w:szCs w:val="22"/>
            <w:lang w:eastAsia="en-GB"/>
          </w:rPr>
          <w:t>Toolkit for Prosecutors on VAWG Cases Involving Vulnerable Victims</w:t>
        </w:r>
      </w:hyperlink>
      <w:r w:rsidR="00586A79" w:rsidRPr="00EA56BB">
        <w:rPr>
          <w:sz w:val="22"/>
          <w:szCs w:val="22"/>
          <w:lang w:eastAsia="en-GB"/>
        </w:rPr>
        <w:t>.</w:t>
      </w:r>
    </w:p>
    <w:p w:rsidR="00586A79" w:rsidRPr="00EA56BB" w:rsidRDefault="00586A79" w:rsidP="001705DD">
      <w:pPr>
        <w:pStyle w:val="Default"/>
        <w:rPr>
          <w:bCs/>
          <w:sz w:val="22"/>
          <w:szCs w:val="22"/>
          <w:highlight w:val="yellow"/>
        </w:rPr>
      </w:pPr>
    </w:p>
    <w:p w:rsidR="00586A79" w:rsidRPr="00EA56BB" w:rsidRDefault="009C0F7C" w:rsidP="001705DD">
      <w:pPr>
        <w:pStyle w:val="Default"/>
        <w:rPr>
          <w:bCs/>
          <w:sz w:val="22"/>
          <w:szCs w:val="22"/>
          <w:highlight w:val="yellow"/>
        </w:rPr>
      </w:pPr>
      <w:r w:rsidRPr="00EA56BB">
        <w:rPr>
          <w:bCs/>
          <w:sz w:val="22"/>
          <w:szCs w:val="22"/>
        </w:rPr>
        <w:t>4</w:t>
      </w:r>
      <w:r w:rsidR="002922BC" w:rsidRPr="00EA56BB">
        <w:rPr>
          <w:bCs/>
          <w:sz w:val="22"/>
          <w:szCs w:val="22"/>
        </w:rPr>
        <w:t>.</w:t>
      </w:r>
      <w:r w:rsidR="00240EF2">
        <w:rPr>
          <w:bCs/>
          <w:sz w:val="22"/>
          <w:szCs w:val="22"/>
        </w:rPr>
        <w:t>1</w:t>
      </w:r>
      <w:r w:rsidR="00031595">
        <w:rPr>
          <w:bCs/>
          <w:sz w:val="22"/>
          <w:szCs w:val="22"/>
        </w:rPr>
        <w:t>4</w:t>
      </w:r>
      <w:r w:rsidR="00586A79" w:rsidRPr="00EA56BB">
        <w:rPr>
          <w:bCs/>
          <w:sz w:val="22"/>
          <w:szCs w:val="22"/>
        </w:rPr>
        <w:t xml:space="preserve"> The safety of </w:t>
      </w:r>
      <w:r w:rsidR="007152ED">
        <w:rPr>
          <w:bCs/>
          <w:sz w:val="22"/>
          <w:szCs w:val="22"/>
        </w:rPr>
        <w:t>complainant</w:t>
      </w:r>
      <w:r w:rsidR="00586A79" w:rsidRPr="00EA56BB">
        <w:rPr>
          <w:bCs/>
          <w:sz w:val="22"/>
          <w:szCs w:val="22"/>
        </w:rPr>
        <w:t xml:space="preserve">s is paramount.  A </w:t>
      </w:r>
      <w:r w:rsidR="007152ED">
        <w:rPr>
          <w:bCs/>
          <w:sz w:val="22"/>
          <w:szCs w:val="22"/>
        </w:rPr>
        <w:t>complainant</w:t>
      </w:r>
      <w:r w:rsidR="00586A79" w:rsidRPr="00EA56BB">
        <w:rPr>
          <w:bCs/>
          <w:sz w:val="22"/>
          <w:szCs w:val="22"/>
        </w:rPr>
        <w:t xml:space="preserve">’s family and/or members of their community may go to great lengths to discover their whereabouts once a crime has been reported.  The risks to the </w:t>
      </w:r>
      <w:r w:rsidR="007152ED">
        <w:rPr>
          <w:bCs/>
          <w:sz w:val="22"/>
          <w:szCs w:val="22"/>
        </w:rPr>
        <w:t>complainant</w:t>
      </w:r>
      <w:r w:rsidR="00586A79" w:rsidRPr="00EA56BB">
        <w:rPr>
          <w:bCs/>
          <w:sz w:val="22"/>
          <w:szCs w:val="22"/>
        </w:rPr>
        <w:t xml:space="preserve"> from her entire family, the </w:t>
      </w:r>
      <w:r w:rsidR="00121D6D">
        <w:rPr>
          <w:bCs/>
          <w:sz w:val="22"/>
          <w:szCs w:val="22"/>
        </w:rPr>
        <w:t>suspect</w:t>
      </w:r>
      <w:r w:rsidR="00586A79" w:rsidRPr="00EA56BB">
        <w:rPr>
          <w:bCs/>
          <w:sz w:val="22"/>
          <w:szCs w:val="22"/>
        </w:rPr>
        <w:t xml:space="preserve">’s family and the community should be considered in such cases; not just the direct risk of the immediate </w:t>
      </w:r>
      <w:r w:rsidR="00121D6D">
        <w:rPr>
          <w:bCs/>
          <w:sz w:val="22"/>
          <w:szCs w:val="22"/>
        </w:rPr>
        <w:t>suspect</w:t>
      </w:r>
      <w:r w:rsidR="00586A79" w:rsidRPr="00EA56BB">
        <w:rPr>
          <w:bCs/>
          <w:sz w:val="22"/>
          <w:szCs w:val="22"/>
        </w:rPr>
        <w:t xml:space="preserve">(s) on the </w:t>
      </w:r>
      <w:r w:rsidR="007152ED">
        <w:rPr>
          <w:bCs/>
          <w:sz w:val="22"/>
          <w:szCs w:val="22"/>
        </w:rPr>
        <w:t>complainant</w:t>
      </w:r>
      <w:r w:rsidR="00586A79" w:rsidRPr="00EA56BB">
        <w:rPr>
          <w:bCs/>
          <w:sz w:val="22"/>
          <w:szCs w:val="22"/>
        </w:rPr>
        <w:t xml:space="preserve">. There is evidence that the risks to the </w:t>
      </w:r>
      <w:r w:rsidR="007152ED">
        <w:rPr>
          <w:bCs/>
          <w:sz w:val="22"/>
          <w:szCs w:val="22"/>
        </w:rPr>
        <w:t>complainant</w:t>
      </w:r>
      <w:r w:rsidR="00586A79" w:rsidRPr="00EA56BB">
        <w:rPr>
          <w:bCs/>
          <w:sz w:val="22"/>
          <w:szCs w:val="22"/>
        </w:rPr>
        <w:t xml:space="preserve"> increase after they have </w:t>
      </w:r>
      <w:r w:rsidR="0063468B" w:rsidRPr="00EA56BB">
        <w:rPr>
          <w:bCs/>
          <w:sz w:val="22"/>
          <w:szCs w:val="22"/>
        </w:rPr>
        <w:t>engaged with</w:t>
      </w:r>
      <w:r w:rsidR="00586A79" w:rsidRPr="00EA56BB">
        <w:rPr>
          <w:bCs/>
          <w:sz w:val="22"/>
          <w:szCs w:val="22"/>
        </w:rPr>
        <w:t xml:space="preserve"> the police service.  In addition the risks also extend to others who may have assisted or otherwise supported the </w:t>
      </w:r>
      <w:r w:rsidR="007152ED">
        <w:rPr>
          <w:bCs/>
          <w:sz w:val="22"/>
          <w:szCs w:val="22"/>
        </w:rPr>
        <w:t>complainant</w:t>
      </w:r>
      <w:r w:rsidR="00586A79" w:rsidRPr="00EA56BB">
        <w:rPr>
          <w:bCs/>
          <w:sz w:val="22"/>
          <w:szCs w:val="22"/>
        </w:rPr>
        <w:t xml:space="preserve"> and these need to be consider</w:t>
      </w:r>
      <w:r w:rsidR="00BB4D72" w:rsidRPr="00EA56BB">
        <w:rPr>
          <w:bCs/>
          <w:sz w:val="22"/>
          <w:szCs w:val="22"/>
        </w:rPr>
        <w:t>ed</w:t>
      </w:r>
      <w:r w:rsidR="00586A79" w:rsidRPr="00EA56BB">
        <w:rPr>
          <w:bCs/>
          <w:sz w:val="22"/>
          <w:szCs w:val="22"/>
        </w:rPr>
        <w:t xml:space="preserve"> by the police</w:t>
      </w:r>
      <w:r w:rsidR="00565C08" w:rsidRPr="00EA56BB">
        <w:rPr>
          <w:bCs/>
          <w:sz w:val="22"/>
          <w:szCs w:val="22"/>
        </w:rPr>
        <w:t xml:space="preserve"> e.g. siblings or undisclosed partner</w:t>
      </w:r>
      <w:r w:rsidR="00586A79" w:rsidRPr="00EA56BB">
        <w:rPr>
          <w:bCs/>
          <w:sz w:val="22"/>
          <w:szCs w:val="22"/>
        </w:rPr>
        <w:t>.</w:t>
      </w:r>
      <w:r w:rsidR="00586A79" w:rsidRPr="00EA56BB">
        <w:rPr>
          <w:bCs/>
          <w:sz w:val="22"/>
          <w:szCs w:val="22"/>
          <w:highlight w:val="yellow"/>
        </w:rPr>
        <w:br/>
      </w:r>
    </w:p>
    <w:p w:rsidR="00586A79" w:rsidRPr="00EA56BB" w:rsidRDefault="009C0F7C" w:rsidP="008D7311">
      <w:pPr>
        <w:pStyle w:val="Default"/>
        <w:rPr>
          <w:bCs/>
          <w:sz w:val="22"/>
          <w:szCs w:val="22"/>
        </w:rPr>
      </w:pPr>
      <w:r w:rsidRPr="00EA56BB">
        <w:rPr>
          <w:bCs/>
          <w:sz w:val="22"/>
          <w:szCs w:val="22"/>
        </w:rPr>
        <w:t>4</w:t>
      </w:r>
      <w:r w:rsidR="002922BC" w:rsidRPr="00EA56BB">
        <w:rPr>
          <w:bCs/>
          <w:sz w:val="22"/>
          <w:szCs w:val="22"/>
        </w:rPr>
        <w:t>.</w:t>
      </w:r>
      <w:r w:rsidR="006E3A50">
        <w:rPr>
          <w:bCs/>
          <w:sz w:val="22"/>
          <w:szCs w:val="22"/>
        </w:rPr>
        <w:t>1</w:t>
      </w:r>
      <w:r w:rsidR="00031595">
        <w:rPr>
          <w:bCs/>
          <w:sz w:val="22"/>
          <w:szCs w:val="22"/>
        </w:rPr>
        <w:t>5</w:t>
      </w:r>
      <w:r w:rsidR="00586A79" w:rsidRPr="00EA56BB">
        <w:rPr>
          <w:bCs/>
          <w:sz w:val="22"/>
          <w:szCs w:val="22"/>
        </w:rPr>
        <w:t xml:space="preserve"> In most cases the police will establish whether a witness is in</w:t>
      </w:r>
      <w:bookmarkStart w:id="5" w:name="_GoBack"/>
      <w:bookmarkEnd w:id="5"/>
      <w:r w:rsidR="00586A79" w:rsidRPr="00EA56BB">
        <w:rPr>
          <w:bCs/>
          <w:sz w:val="22"/>
          <w:szCs w:val="22"/>
        </w:rPr>
        <w:t xml:space="preserve"> fear and should inform the prosecutor. Ideally, a discussion about the type of 'protection' that should be applied for will take place between the police and the prosecutor at the pre charge stage. In some very serious cases witness protection will be necessary.  Prosecutors should refer to the </w:t>
      </w:r>
      <w:hyperlink r:id="rId25" w:anchor="a07" w:history="1">
        <w:r w:rsidR="00530680" w:rsidRPr="00EA56BB">
          <w:rPr>
            <w:rStyle w:val="Hyperlink"/>
            <w:rFonts w:cs="Arial"/>
            <w:bCs/>
            <w:sz w:val="22"/>
            <w:szCs w:val="22"/>
          </w:rPr>
          <w:t>Witness Protection and Anonymity Legal Guidance</w:t>
        </w:r>
      </w:hyperlink>
      <w:r w:rsidR="00586A79" w:rsidRPr="00EA56BB">
        <w:rPr>
          <w:bCs/>
          <w:sz w:val="22"/>
          <w:szCs w:val="22"/>
        </w:rPr>
        <w:t>.</w:t>
      </w:r>
    </w:p>
    <w:p w:rsidR="00586A79" w:rsidRPr="00EA56BB" w:rsidRDefault="00586A79" w:rsidP="001705DD">
      <w:pPr>
        <w:pStyle w:val="Default"/>
        <w:rPr>
          <w:bCs/>
          <w:sz w:val="22"/>
          <w:szCs w:val="22"/>
        </w:rPr>
      </w:pPr>
    </w:p>
    <w:p w:rsidR="00586A79" w:rsidRPr="00EA56BB" w:rsidRDefault="009C0F7C" w:rsidP="00112178">
      <w:pPr>
        <w:pStyle w:val="Default"/>
        <w:rPr>
          <w:sz w:val="22"/>
          <w:szCs w:val="22"/>
        </w:rPr>
      </w:pPr>
      <w:r w:rsidRPr="00EA56BB">
        <w:rPr>
          <w:sz w:val="22"/>
          <w:szCs w:val="22"/>
        </w:rPr>
        <w:t>4</w:t>
      </w:r>
      <w:r w:rsidR="002922BC" w:rsidRPr="00EA56BB">
        <w:rPr>
          <w:sz w:val="22"/>
          <w:szCs w:val="22"/>
        </w:rPr>
        <w:t>.</w:t>
      </w:r>
      <w:r w:rsidR="00032509" w:rsidRPr="00EA56BB">
        <w:rPr>
          <w:sz w:val="22"/>
          <w:szCs w:val="22"/>
        </w:rPr>
        <w:t>1</w:t>
      </w:r>
      <w:r w:rsidR="00031595">
        <w:rPr>
          <w:sz w:val="22"/>
          <w:szCs w:val="22"/>
        </w:rPr>
        <w:t>6</w:t>
      </w:r>
      <w:r w:rsidR="00032509" w:rsidRPr="00EA56BB">
        <w:rPr>
          <w:sz w:val="22"/>
          <w:szCs w:val="22"/>
        </w:rPr>
        <w:t xml:space="preserve"> </w:t>
      </w:r>
      <w:r w:rsidR="00586A79" w:rsidRPr="00EA56BB">
        <w:rPr>
          <w:sz w:val="22"/>
          <w:szCs w:val="22"/>
        </w:rPr>
        <w:t>The police will ensure that the</w:t>
      </w:r>
      <w:r w:rsidR="005E3E00" w:rsidRPr="00EA56BB">
        <w:rPr>
          <w:sz w:val="22"/>
          <w:szCs w:val="22"/>
        </w:rPr>
        <w:t xml:space="preserve"> </w:t>
      </w:r>
      <w:r w:rsidR="00586A79" w:rsidRPr="007F3C3B">
        <w:rPr>
          <w:sz w:val="22"/>
          <w:szCs w:val="22"/>
        </w:rPr>
        <w:t>Domestic Abuse, Stalking and HBV risk assessment (DASH)</w:t>
      </w:r>
      <w:r w:rsidR="005E3E00" w:rsidRPr="00EA56BB">
        <w:rPr>
          <w:rStyle w:val="FootnoteReference"/>
          <w:rFonts w:cs="Arial"/>
          <w:color w:val="0000FF"/>
          <w:sz w:val="22"/>
          <w:szCs w:val="22"/>
          <w:u w:val="single"/>
        </w:rPr>
        <w:footnoteReference w:id="7"/>
      </w:r>
      <w:r w:rsidR="002C29CC" w:rsidRPr="00EA56BB">
        <w:rPr>
          <w:rStyle w:val="Hyperlink"/>
          <w:rFonts w:cs="Arial"/>
          <w:sz w:val="22"/>
          <w:szCs w:val="22"/>
          <w:u w:val="none"/>
        </w:rPr>
        <w:t xml:space="preserve"> </w:t>
      </w:r>
      <w:r w:rsidR="00586A79" w:rsidRPr="00EA56BB">
        <w:rPr>
          <w:sz w:val="22"/>
          <w:szCs w:val="22"/>
        </w:rPr>
        <w:t xml:space="preserve">is used to assess the risk to the </w:t>
      </w:r>
      <w:r w:rsidR="007152ED">
        <w:rPr>
          <w:sz w:val="22"/>
          <w:szCs w:val="22"/>
        </w:rPr>
        <w:t>complainant</w:t>
      </w:r>
      <w:r w:rsidR="00586A79" w:rsidRPr="00EA56BB">
        <w:rPr>
          <w:sz w:val="22"/>
          <w:szCs w:val="22"/>
        </w:rPr>
        <w:t xml:space="preserve"> and inform the development of safeguarding plans in relation to the </w:t>
      </w:r>
      <w:r w:rsidR="007152ED">
        <w:rPr>
          <w:sz w:val="22"/>
          <w:szCs w:val="22"/>
        </w:rPr>
        <w:t>complainant</w:t>
      </w:r>
      <w:r w:rsidR="00586A79" w:rsidRPr="00EA56BB">
        <w:rPr>
          <w:sz w:val="22"/>
          <w:szCs w:val="22"/>
        </w:rPr>
        <w:t xml:space="preserve">.  First response staff and their supervisor should </w:t>
      </w:r>
      <w:r w:rsidR="00586A79" w:rsidRPr="00EA56BB">
        <w:rPr>
          <w:sz w:val="22"/>
          <w:szCs w:val="22"/>
          <w:u w:val="single"/>
        </w:rPr>
        <w:t>identify</w:t>
      </w:r>
      <w:r w:rsidR="00586A79" w:rsidRPr="00EA56BB">
        <w:rPr>
          <w:sz w:val="22"/>
          <w:szCs w:val="22"/>
        </w:rPr>
        <w:t xml:space="preserve"> risk factors, </w:t>
      </w:r>
      <w:proofErr w:type="gramStart"/>
      <w:r w:rsidR="00586A79" w:rsidRPr="00EA56BB">
        <w:rPr>
          <w:sz w:val="22"/>
          <w:szCs w:val="22"/>
          <w:u w:val="single"/>
        </w:rPr>
        <w:t>who</w:t>
      </w:r>
      <w:proofErr w:type="gramEnd"/>
      <w:r w:rsidR="00586A79" w:rsidRPr="00EA56BB">
        <w:rPr>
          <w:sz w:val="22"/>
          <w:szCs w:val="22"/>
        </w:rPr>
        <w:t xml:space="preserve"> is at risk and decide </w:t>
      </w:r>
      <w:r w:rsidR="00586A79" w:rsidRPr="00EA56BB">
        <w:rPr>
          <w:sz w:val="22"/>
          <w:szCs w:val="22"/>
          <w:u w:val="single"/>
        </w:rPr>
        <w:t>what</w:t>
      </w:r>
      <w:r w:rsidR="00586A79" w:rsidRPr="00EA56BB">
        <w:rPr>
          <w:sz w:val="22"/>
          <w:szCs w:val="22"/>
        </w:rPr>
        <w:t xml:space="preserve"> level of intervention is required.  </w:t>
      </w:r>
    </w:p>
    <w:p w:rsidR="00586A79" w:rsidRPr="00EA56BB" w:rsidRDefault="00586A79" w:rsidP="00112178">
      <w:pPr>
        <w:pStyle w:val="Default"/>
        <w:rPr>
          <w:sz w:val="22"/>
          <w:szCs w:val="22"/>
          <w:highlight w:val="yellow"/>
        </w:rPr>
      </w:pPr>
    </w:p>
    <w:p w:rsidR="00586A79" w:rsidRPr="00EA56BB" w:rsidRDefault="009C0F7C" w:rsidP="00112178">
      <w:pPr>
        <w:pStyle w:val="Default"/>
        <w:rPr>
          <w:sz w:val="22"/>
          <w:szCs w:val="22"/>
        </w:rPr>
      </w:pPr>
      <w:r w:rsidRPr="00EA56BB">
        <w:rPr>
          <w:sz w:val="22"/>
          <w:szCs w:val="22"/>
        </w:rPr>
        <w:t>4</w:t>
      </w:r>
      <w:r w:rsidR="00586A79" w:rsidRPr="00EA56BB">
        <w:rPr>
          <w:sz w:val="22"/>
          <w:szCs w:val="22"/>
        </w:rPr>
        <w:t>.</w:t>
      </w:r>
      <w:r w:rsidR="00032509" w:rsidRPr="00EA56BB">
        <w:rPr>
          <w:sz w:val="22"/>
          <w:szCs w:val="22"/>
        </w:rPr>
        <w:t>1</w:t>
      </w:r>
      <w:r w:rsidR="00031595">
        <w:rPr>
          <w:sz w:val="22"/>
          <w:szCs w:val="22"/>
        </w:rPr>
        <w:t>7</w:t>
      </w:r>
      <w:r w:rsidR="00586A79" w:rsidRPr="00EA56BB">
        <w:rPr>
          <w:sz w:val="22"/>
          <w:szCs w:val="22"/>
        </w:rPr>
        <w:t xml:space="preserve"> Police must ensure they ask the </w:t>
      </w:r>
      <w:r w:rsidR="007152ED">
        <w:rPr>
          <w:sz w:val="22"/>
          <w:szCs w:val="22"/>
        </w:rPr>
        <w:t>complainant</w:t>
      </w:r>
      <w:r w:rsidR="00586A79" w:rsidRPr="00EA56BB">
        <w:rPr>
          <w:sz w:val="22"/>
          <w:szCs w:val="22"/>
        </w:rPr>
        <w:t xml:space="preserve"> about the abusers behaviour in all cases of </w:t>
      </w:r>
      <w:r w:rsidR="00AF29CF" w:rsidRPr="00EA56BB">
        <w:rPr>
          <w:sz w:val="22"/>
          <w:szCs w:val="22"/>
        </w:rPr>
        <w:t>FGM</w:t>
      </w:r>
      <w:r w:rsidR="00586A79" w:rsidRPr="00EA56BB">
        <w:rPr>
          <w:sz w:val="22"/>
          <w:szCs w:val="22"/>
        </w:rPr>
        <w:t xml:space="preserve">.  </w:t>
      </w:r>
      <w:r w:rsidR="009770E3" w:rsidRPr="00EA56BB">
        <w:rPr>
          <w:sz w:val="22"/>
          <w:szCs w:val="22"/>
        </w:rPr>
        <w:t xml:space="preserve">The risk identification process must remain on-going.  Events and circumstances may undergo rapid and frequent change hence resulting in increases to the risk of the </w:t>
      </w:r>
      <w:r w:rsidR="007152ED">
        <w:rPr>
          <w:sz w:val="22"/>
          <w:szCs w:val="22"/>
        </w:rPr>
        <w:t>complainant</w:t>
      </w:r>
      <w:r w:rsidR="009770E3" w:rsidRPr="00EA56BB">
        <w:rPr>
          <w:sz w:val="22"/>
          <w:szCs w:val="22"/>
        </w:rPr>
        <w:t xml:space="preserve">.  The assessment must be kept under constant review.  </w:t>
      </w:r>
      <w:r w:rsidR="00586A79" w:rsidRPr="00EA56BB">
        <w:rPr>
          <w:sz w:val="22"/>
          <w:szCs w:val="22"/>
        </w:rPr>
        <w:t>High risk cases may well require a multi-agency response and should be</w:t>
      </w:r>
      <w:r w:rsidR="00A2429A" w:rsidRPr="00EA56BB">
        <w:rPr>
          <w:sz w:val="22"/>
          <w:szCs w:val="22"/>
        </w:rPr>
        <w:t xml:space="preserve"> considered for</w:t>
      </w:r>
      <w:r w:rsidR="00586A79" w:rsidRPr="00EA56BB">
        <w:rPr>
          <w:sz w:val="22"/>
          <w:szCs w:val="22"/>
        </w:rPr>
        <w:t xml:space="preserve"> referr</w:t>
      </w:r>
      <w:r w:rsidR="00A2429A" w:rsidRPr="00EA56BB">
        <w:rPr>
          <w:sz w:val="22"/>
          <w:szCs w:val="22"/>
        </w:rPr>
        <w:t>al</w:t>
      </w:r>
      <w:r w:rsidR="00586A79" w:rsidRPr="00EA56BB">
        <w:rPr>
          <w:sz w:val="22"/>
          <w:szCs w:val="22"/>
        </w:rPr>
        <w:t xml:space="preserve"> to the relevant risk management panel i.e. the </w:t>
      </w:r>
      <w:r w:rsidR="00586A79" w:rsidRPr="00EA56BB">
        <w:rPr>
          <w:caps/>
          <w:sz w:val="22"/>
          <w:szCs w:val="22"/>
        </w:rPr>
        <w:t>m</w:t>
      </w:r>
      <w:r w:rsidR="00586A79" w:rsidRPr="00EA56BB">
        <w:rPr>
          <w:sz w:val="22"/>
          <w:szCs w:val="22"/>
        </w:rPr>
        <w:t>ulti-</w:t>
      </w:r>
      <w:r w:rsidR="00586A79" w:rsidRPr="00EA56BB">
        <w:rPr>
          <w:caps/>
          <w:sz w:val="22"/>
          <w:szCs w:val="22"/>
        </w:rPr>
        <w:t>a</w:t>
      </w:r>
      <w:r w:rsidR="00586A79" w:rsidRPr="00EA56BB">
        <w:rPr>
          <w:sz w:val="22"/>
          <w:szCs w:val="22"/>
        </w:rPr>
        <w:t xml:space="preserve">gency </w:t>
      </w:r>
      <w:r w:rsidR="00586A79" w:rsidRPr="00EA56BB">
        <w:rPr>
          <w:caps/>
          <w:sz w:val="22"/>
          <w:szCs w:val="22"/>
        </w:rPr>
        <w:t>r</w:t>
      </w:r>
      <w:r w:rsidR="00586A79" w:rsidRPr="00EA56BB">
        <w:rPr>
          <w:sz w:val="22"/>
          <w:szCs w:val="22"/>
        </w:rPr>
        <w:t xml:space="preserve">isk </w:t>
      </w:r>
      <w:r w:rsidR="00586A79" w:rsidRPr="00EA56BB">
        <w:rPr>
          <w:caps/>
          <w:sz w:val="22"/>
          <w:szCs w:val="22"/>
        </w:rPr>
        <w:t>a</w:t>
      </w:r>
      <w:r w:rsidR="00586A79" w:rsidRPr="00EA56BB">
        <w:rPr>
          <w:sz w:val="22"/>
          <w:szCs w:val="22"/>
        </w:rPr>
        <w:t xml:space="preserve">ssessment Conference (MARAC) </w:t>
      </w:r>
      <w:r w:rsidR="00583503" w:rsidRPr="00EA56BB">
        <w:rPr>
          <w:sz w:val="22"/>
          <w:szCs w:val="22"/>
        </w:rPr>
        <w:t>and/</w:t>
      </w:r>
      <w:r w:rsidR="00586A79" w:rsidRPr="00EA56BB">
        <w:rPr>
          <w:sz w:val="22"/>
          <w:szCs w:val="22"/>
        </w:rPr>
        <w:t xml:space="preserve">or </w:t>
      </w:r>
      <w:r w:rsidR="00586A79" w:rsidRPr="00EA56BB">
        <w:rPr>
          <w:caps/>
          <w:sz w:val="22"/>
          <w:szCs w:val="22"/>
        </w:rPr>
        <w:t>m</w:t>
      </w:r>
      <w:r w:rsidR="00586A79" w:rsidRPr="00EA56BB">
        <w:rPr>
          <w:sz w:val="22"/>
          <w:szCs w:val="22"/>
        </w:rPr>
        <w:t xml:space="preserve">ulti-Agency </w:t>
      </w:r>
      <w:r w:rsidR="00586A79" w:rsidRPr="00EA56BB">
        <w:rPr>
          <w:caps/>
          <w:sz w:val="22"/>
          <w:szCs w:val="22"/>
        </w:rPr>
        <w:t>p</w:t>
      </w:r>
      <w:r w:rsidR="00586A79" w:rsidRPr="00EA56BB">
        <w:rPr>
          <w:sz w:val="22"/>
          <w:szCs w:val="22"/>
        </w:rPr>
        <w:t xml:space="preserve">ublic </w:t>
      </w:r>
      <w:r w:rsidR="00586A79" w:rsidRPr="00EA56BB">
        <w:rPr>
          <w:caps/>
          <w:sz w:val="22"/>
          <w:szCs w:val="22"/>
        </w:rPr>
        <w:t>p</w:t>
      </w:r>
      <w:r w:rsidR="00586A79" w:rsidRPr="00EA56BB">
        <w:rPr>
          <w:sz w:val="22"/>
          <w:szCs w:val="22"/>
        </w:rPr>
        <w:t xml:space="preserve">rotection </w:t>
      </w:r>
      <w:r w:rsidR="00586A79" w:rsidRPr="00EA56BB">
        <w:rPr>
          <w:caps/>
          <w:sz w:val="22"/>
          <w:szCs w:val="22"/>
        </w:rPr>
        <w:t>p</w:t>
      </w:r>
      <w:r w:rsidR="00586A79" w:rsidRPr="00EA56BB">
        <w:rPr>
          <w:sz w:val="22"/>
          <w:szCs w:val="22"/>
        </w:rPr>
        <w:t>anel (MAPPA).</w:t>
      </w:r>
    </w:p>
    <w:p w:rsidR="00586A79" w:rsidRPr="00EA56BB" w:rsidRDefault="00586A79" w:rsidP="000D1E16">
      <w:pPr>
        <w:pStyle w:val="Default"/>
        <w:rPr>
          <w:sz w:val="22"/>
          <w:szCs w:val="22"/>
          <w:highlight w:val="yellow"/>
        </w:rPr>
      </w:pPr>
    </w:p>
    <w:p w:rsidR="00586A79" w:rsidRPr="00EA56BB" w:rsidRDefault="009C0F7C" w:rsidP="00B51338">
      <w:pPr>
        <w:pStyle w:val="Default"/>
        <w:rPr>
          <w:sz w:val="22"/>
          <w:szCs w:val="22"/>
        </w:rPr>
      </w:pPr>
      <w:r w:rsidRPr="00EA56BB">
        <w:rPr>
          <w:sz w:val="22"/>
          <w:szCs w:val="22"/>
        </w:rPr>
        <w:t>4</w:t>
      </w:r>
      <w:r w:rsidR="00032509" w:rsidRPr="00EA56BB">
        <w:rPr>
          <w:sz w:val="22"/>
          <w:szCs w:val="22"/>
        </w:rPr>
        <w:t>.1</w:t>
      </w:r>
      <w:r w:rsidR="00031595">
        <w:rPr>
          <w:sz w:val="22"/>
          <w:szCs w:val="22"/>
        </w:rPr>
        <w:t>8</w:t>
      </w:r>
      <w:r w:rsidR="00586A79" w:rsidRPr="00EA56BB">
        <w:rPr>
          <w:sz w:val="22"/>
          <w:szCs w:val="22"/>
        </w:rPr>
        <w:t xml:space="preserve"> Police and prosecutors should be aware that </w:t>
      </w:r>
      <w:r w:rsidR="00121D6D">
        <w:rPr>
          <w:sz w:val="22"/>
          <w:szCs w:val="22"/>
        </w:rPr>
        <w:t>suspects</w:t>
      </w:r>
      <w:r w:rsidR="00586A79" w:rsidRPr="00EA56BB">
        <w:rPr>
          <w:sz w:val="22"/>
          <w:szCs w:val="22"/>
        </w:rPr>
        <w:t xml:space="preserve"> may take </w:t>
      </w:r>
      <w:r w:rsidR="007152ED">
        <w:rPr>
          <w:sz w:val="22"/>
          <w:szCs w:val="22"/>
        </w:rPr>
        <w:t>complainant</w:t>
      </w:r>
      <w:r w:rsidR="00586A79" w:rsidRPr="00EA56BB">
        <w:rPr>
          <w:sz w:val="22"/>
          <w:szCs w:val="22"/>
        </w:rPr>
        <w:t xml:space="preserve">s of </w:t>
      </w:r>
      <w:r w:rsidR="00AF29CF" w:rsidRPr="00EA56BB">
        <w:rPr>
          <w:sz w:val="22"/>
          <w:szCs w:val="22"/>
        </w:rPr>
        <w:t>FGM</w:t>
      </w:r>
      <w:r w:rsidR="00586A79" w:rsidRPr="00EA56BB">
        <w:rPr>
          <w:sz w:val="22"/>
          <w:szCs w:val="22"/>
        </w:rPr>
        <w:t xml:space="preserve"> abroad to commit these crimes, they may be aware that the police and prosecutorial response is weak or non-existent in these other countries.  Given the international nature of these crimes, early discussions with the extradition team at CPS Headquarters may assist.  Information on the CPS extradition unit can be found on the</w:t>
      </w:r>
      <w:r w:rsidR="00D34A80" w:rsidRPr="00EA56BB">
        <w:rPr>
          <w:sz w:val="22"/>
          <w:szCs w:val="22"/>
        </w:rPr>
        <w:t xml:space="preserve"> internal</w:t>
      </w:r>
      <w:r w:rsidR="00586A79" w:rsidRPr="00EA56BB">
        <w:rPr>
          <w:sz w:val="22"/>
          <w:szCs w:val="22"/>
        </w:rPr>
        <w:t xml:space="preserve"> CPS casework and knowledge hub.  </w:t>
      </w:r>
    </w:p>
    <w:p w:rsidR="00817655" w:rsidRPr="00EA56BB" w:rsidRDefault="00817655" w:rsidP="00B51338">
      <w:pPr>
        <w:pStyle w:val="Default"/>
        <w:rPr>
          <w:sz w:val="22"/>
          <w:szCs w:val="22"/>
        </w:rPr>
      </w:pPr>
    </w:p>
    <w:p w:rsidR="00C66CEC" w:rsidRPr="00EA56BB" w:rsidRDefault="00DD14B7" w:rsidP="00B51338">
      <w:pPr>
        <w:pStyle w:val="Default"/>
        <w:rPr>
          <w:sz w:val="22"/>
          <w:szCs w:val="22"/>
        </w:rPr>
      </w:pPr>
      <w:r w:rsidRPr="00EA56BB">
        <w:rPr>
          <w:sz w:val="22"/>
          <w:szCs w:val="22"/>
        </w:rPr>
        <w:t>4.1</w:t>
      </w:r>
      <w:r w:rsidR="00031595">
        <w:rPr>
          <w:sz w:val="22"/>
          <w:szCs w:val="22"/>
        </w:rPr>
        <w:t>9</w:t>
      </w:r>
      <w:r w:rsidRPr="00EA56BB">
        <w:rPr>
          <w:sz w:val="22"/>
          <w:szCs w:val="22"/>
        </w:rPr>
        <w:t xml:space="preserve"> In the majority of cases </w:t>
      </w:r>
      <w:r w:rsidR="007152ED">
        <w:rPr>
          <w:sz w:val="22"/>
          <w:szCs w:val="22"/>
        </w:rPr>
        <w:t>complainant</w:t>
      </w:r>
      <w:r w:rsidRPr="00EA56BB">
        <w:rPr>
          <w:sz w:val="22"/>
          <w:szCs w:val="22"/>
        </w:rPr>
        <w:t xml:space="preserve">s will be children. </w:t>
      </w:r>
      <w:r w:rsidR="00C66CEC" w:rsidRPr="00EA56BB">
        <w:rPr>
          <w:sz w:val="22"/>
          <w:szCs w:val="22"/>
        </w:rPr>
        <w:t xml:space="preserve">Police and Prosecutors should refer to the </w:t>
      </w:r>
      <w:hyperlink r:id="rId26" w:history="1">
        <w:r w:rsidR="00196576">
          <w:rPr>
            <w:rStyle w:val="Hyperlink"/>
            <w:rFonts w:cs="Arial"/>
            <w:sz w:val="22"/>
            <w:szCs w:val="22"/>
          </w:rPr>
          <w:t>Safeguarding Children as Victims and Witnesses</w:t>
        </w:r>
      </w:hyperlink>
      <w:r w:rsidR="00DD7A8E" w:rsidRPr="00EA56BB">
        <w:rPr>
          <w:sz w:val="22"/>
          <w:szCs w:val="22"/>
        </w:rPr>
        <w:t xml:space="preserve"> guidance. </w:t>
      </w:r>
    </w:p>
    <w:p w:rsidR="002D1AD5" w:rsidRPr="00EA56BB" w:rsidRDefault="002D1AD5" w:rsidP="00B51338">
      <w:pPr>
        <w:pStyle w:val="Default"/>
        <w:rPr>
          <w:sz w:val="22"/>
          <w:szCs w:val="22"/>
        </w:rPr>
      </w:pPr>
    </w:p>
    <w:p w:rsidR="002D1AD5" w:rsidRPr="00EA56BB" w:rsidRDefault="002D1AD5" w:rsidP="00B51338">
      <w:pPr>
        <w:pStyle w:val="Default"/>
        <w:rPr>
          <w:b/>
          <w:sz w:val="22"/>
          <w:szCs w:val="22"/>
        </w:rPr>
      </w:pPr>
      <w:bookmarkStart w:id="6" w:name="Section5"/>
      <w:r w:rsidRPr="00EA56BB">
        <w:rPr>
          <w:b/>
          <w:sz w:val="22"/>
          <w:szCs w:val="22"/>
        </w:rPr>
        <w:t>5. SECTION 5</w:t>
      </w:r>
      <w:bookmarkEnd w:id="6"/>
      <w:r w:rsidRPr="00EA56BB">
        <w:rPr>
          <w:b/>
          <w:sz w:val="22"/>
          <w:szCs w:val="22"/>
        </w:rPr>
        <w:t xml:space="preserve"> – INSTRUCTIONS FOR MEDICAL EXPERTS</w:t>
      </w:r>
    </w:p>
    <w:p w:rsidR="002D1AD5" w:rsidRPr="00EA56BB" w:rsidRDefault="002D1AD5" w:rsidP="00B51338">
      <w:pPr>
        <w:pStyle w:val="Default"/>
        <w:rPr>
          <w:b/>
          <w:sz w:val="22"/>
          <w:szCs w:val="22"/>
        </w:rPr>
      </w:pPr>
    </w:p>
    <w:p w:rsidR="004E4B7A" w:rsidRPr="00EA56BB" w:rsidRDefault="00A207E0" w:rsidP="003156C3">
      <w:pPr>
        <w:pStyle w:val="Default"/>
        <w:rPr>
          <w:sz w:val="22"/>
          <w:szCs w:val="22"/>
        </w:rPr>
      </w:pPr>
      <w:r w:rsidRPr="00EA56BB">
        <w:rPr>
          <w:sz w:val="22"/>
          <w:szCs w:val="22"/>
        </w:rPr>
        <w:t xml:space="preserve">5.1 </w:t>
      </w:r>
      <w:r w:rsidR="003156C3" w:rsidRPr="00EA56BB">
        <w:rPr>
          <w:sz w:val="22"/>
          <w:szCs w:val="22"/>
        </w:rPr>
        <w:t>The police would normally contact an expert directly to instruct them to provide a report / evidence on the injury</w:t>
      </w:r>
      <w:r w:rsidR="00D97B8C">
        <w:rPr>
          <w:sz w:val="22"/>
          <w:szCs w:val="22"/>
        </w:rPr>
        <w:t>, the expert would also be sent the DVD/CD recording of the initial examination (where possible)</w:t>
      </w:r>
      <w:r w:rsidR="003156C3" w:rsidRPr="00EA56BB">
        <w:rPr>
          <w:sz w:val="22"/>
          <w:szCs w:val="22"/>
        </w:rPr>
        <w:t xml:space="preserve">. </w:t>
      </w:r>
      <w:r w:rsidR="004E4B7A" w:rsidRPr="00EA56BB">
        <w:rPr>
          <w:sz w:val="22"/>
          <w:szCs w:val="22"/>
        </w:rPr>
        <w:t>However, the National Crime Agency’s Major Crime Investigation Support Unit</w:t>
      </w:r>
      <w:r w:rsidR="00630EC8">
        <w:rPr>
          <w:rStyle w:val="FootnoteReference"/>
          <w:sz w:val="22"/>
          <w:szCs w:val="22"/>
        </w:rPr>
        <w:footnoteReference w:id="8"/>
      </w:r>
      <w:r w:rsidR="004E4B7A" w:rsidRPr="00EA56BB">
        <w:rPr>
          <w:sz w:val="22"/>
          <w:szCs w:val="22"/>
        </w:rPr>
        <w:t xml:space="preserve"> </w:t>
      </w:r>
      <w:proofErr w:type="gramStart"/>
      <w:r w:rsidR="004E4B7A" w:rsidRPr="00EA56BB">
        <w:rPr>
          <w:sz w:val="22"/>
          <w:szCs w:val="22"/>
        </w:rPr>
        <w:t>hold</w:t>
      </w:r>
      <w:proofErr w:type="gramEnd"/>
      <w:r w:rsidR="004E4B7A" w:rsidRPr="00EA56BB">
        <w:rPr>
          <w:sz w:val="22"/>
          <w:szCs w:val="22"/>
        </w:rPr>
        <w:t xml:space="preserve"> and maintain a list of advisers in a range of areas including medical to support a criminal investigation.  They do not accredit but suggest based on operational and court experience, and can provide feedback if required.</w:t>
      </w:r>
      <w:r w:rsidR="00630EC8">
        <w:rPr>
          <w:sz w:val="22"/>
          <w:szCs w:val="22"/>
        </w:rPr>
        <w:t xml:space="preserve"> </w:t>
      </w:r>
      <w:r w:rsidR="004E4B7A" w:rsidRPr="00EA56BB">
        <w:rPr>
          <w:sz w:val="22"/>
          <w:szCs w:val="22"/>
        </w:rPr>
        <w:t xml:space="preserve">  </w:t>
      </w:r>
    </w:p>
    <w:p w:rsidR="004E4B7A" w:rsidRPr="00EA56BB" w:rsidRDefault="004E4B7A" w:rsidP="003156C3">
      <w:pPr>
        <w:pStyle w:val="Default"/>
        <w:rPr>
          <w:sz w:val="22"/>
          <w:szCs w:val="22"/>
        </w:rPr>
      </w:pPr>
    </w:p>
    <w:p w:rsidR="003156C3" w:rsidRPr="00EA56BB" w:rsidRDefault="003156C3" w:rsidP="003156C3">
      <w:pPr>
        <w:pStyle w:val="Default"/>
        <w:rPr>
          <w:sz w:val="22"/>
          <w:szCs w:val="22"/>
        </w:rPr>
      </w:pPr>
      <w:r w:rsidRPr="00EA56BB">
        <w:rPr>
          <w:sz w:val="22"/>
          <w:szCs w:val="22"/>
        </w:rPr>
        <w:t xml:space="preserve">The following points must be considered when providing instructions to ensure that all relevant points are covered in the report / statement to enable </w:t>
      </w:r>
      <w:r w:rsidR="00EE7198" w:rsidRPr="00EA56BB">
        <w:rPr>
          <w:sz w:val="22"/>
          <w:szCs w:val="22"/>
        </w:rPr>
        <w:t>a charging decision to be made:</w:t>
      </w:r>
    </w:p>
    <w:p w:rsidR="00BC6220" w:rsidRDefault="00BC6220" w:rsidP="00BC6220">
      <w:pPr>
        <w:pStyle w:val="Default"/>
        <w:numPr>
          <w:ilvl w:val="0"/>
          <w:numId w:val="43"/>
        </w:numPr>
        <w:rPr>
          <w:sz w:val="22"/>
          <w:szCs w:val="22"/>
        </w:rPr>
      </w:pPr>
      <w:r w:rsidRPr="00BC6220">
        <w:rPr>
          <w:sz w:val="22"/>
          <w:szCs w:val="22"/>
        </w:rPr>
        <w:t xml:space="preserve">Case law is clear that, where possible, it should not be the attending clinician who should be instructed as the expert. However there are some FGM experts who are also clinicians in which case they can be used. </w:t>
      </w:r>
    </w:p>
    <w:p w:rsidR="003156C3" w:rsidRPr="00EA56BB" w:rsidRDefault="003156C3" w:rsidP="00BC6220">
      <w:pPr>
        <w:pStyle w:val="Default"/>
        <w:numPr>
          <w:ilvl w:val="0"/>
          <w:numId w:val="43"/>
        </w:numPr>
        <w:rPr>
          <w:sz w:val="22"/>
          <w:szCs w:val="22"/>
        </w:rPr>
      </w:pPr>
      <w:r w:rsidRPr="00EA56BB">
        <w:rPr>
          <w:sz w:val="22"/>
          <w:szCs w:val="22"/>
        </w:rPr>
        <w:t xml:space="preserve">The expert must be instructed to give ‘an expert opinion’ about the nature of any injury, including in the context of any history provided by </w:t>
      </w:r>
      <w:r w:rsidR="00524B1F" w:rsidRPr="00EA56BB">
        <w:rPr>
          <w:sz w:val="22"/>
          <w:szCs w:val="22"/>
        </w:rPr>
        <w:t>or on behalf of the complainant</w:t>
      </w:r>
      <w:r w:rsidR="00787908">
        <w:rPr>
          <w:sz w:val="22"/>
          <w:szCs w:val="22"/>
        </w:rPr>
        <w:t>.</w:t>
      </w:r>
    </w:p>
    <w:p w:rsidR="003156C3" w:rsidRPr="00EA56BB" w:rsidRDefault="003156C3" w:rsidP="003156C3">
      <w:pPr>
        <w:pStyle w:val="Default"/>
        <w:numPr>
          <w:ilvl w:val="0"/>
          <w:numId w:val="43"/>
        </w:numPr>
        <w:rPr>
          <w:sz w:val="22"/>
          <w:szCs w:val="22"/>
        </w:rPr>
      </w:pPr>
      <w:r w:rsidRPr="00EA56BB">
        <w:rPr>
          <w:sz w:val="22"/>
          <w:szCs w:val="22"/>
        </w:rPr>
        <w:t>Include the qualifications of the expert in the report / statement with particular reference to the</w:t>
      </w:r>
      <w:r w:rsidR="00524B1F" w:rsidRPr="00EA56BB">
        <w:rPr>
          <w:sz w:val="22"/>
          <w:szCs w:val="22"/>
        </w:rPr>
        <w:t>ir expertise in relation to FGM</w:t>
      </w:r>
      <w:r w:rsidR="00787908">
        <w:rPr>
          <w:sz w:val="22"/>
          <w:szCs w:val="22"/>
        </w:rPr>
        <w:t>.</w:t>
      </w:r>
    </w:p>
    <w:p w:rsidR="003156C3" w:rsidRPr="00EA56BB" w:rsidRDefault="003156C3" w:rsidP="003156C3">
      <w:pPr>
        <w:pStyle w:val="Default"/>
        <w:numPr>
          <w:ilvl w:val="0"/>
          <w:numId w:val="43"/>
        </w:numPr>
        <w:rPr>
          <w:sz w:val="22"/>
          <w:szCs w:val="22"/>
        </w:rPr>
      </w:pPr>
      <w:r w:rsidRPr="00EA56BB">
        <w:rPr>
          <w:sz w:val="22"/>
          <w:szCs w:val="22"/>
        </w:rPr>
        <w:t>Specific and detailed expert evidence is required on the findings, for example, how many transections or cuts there are, where do the cuts arise a</w:t>
      </w:r>
      <w:r w:rsidR="00524B1F" w:rsidRPr="00EA56BB">
        <w:rPr>
          <w:sz w:val="22"/>
          <w:szCs w:val="22"/>
        </w:rPr>
        <w:t>nd depth of cuts where relevant</w:t>
      </w:r>
      <w:r w:rsidR="004E4B7A" w:rsidRPr="00EA56BB">
        <w:rPr>
          <w:sz w:val="22"/>
          <w:szCs w:val="22"/>
        </w:rPr>
        <w:t xml:space="preserve"> as well as the age and type of the injuries, force and mechanism used including type of implement, if possible, and to opine whether this procedure was necessary</w:t>
      </w:r>
      <w:r w:rsidR="00787908">
        <w:rPr>
          <w:sz w:val="22"/>
          <w:szCs w:val="22"/>
        </w:rPr>
        <w:t>.</w:t>
      </w:r>
    </w:p>
    <w:p w:rsidR="003156C3" w:rsidRPr="00EA56BB" w:rsidRDefault="003156C3" w:rsidP="003156C3">
      <w:pPr>
        <w:pStyle w:val="Default"/>
        <w:numPr>
          <w:ilvl w:val="0"/>
          <w:numId w:val="43"/>
        </w:numPr>
        <w:rPr>
          <w:sz w:val="22"/>
          <w:szCs w:val="22"/>
        </w:rPr>
      </w:pPr>
      <w:r w:rsidRPr="00EA56BB">
        <w:rPr>
          <w:sz w:val="22"/>
          <w:szCs w:val="22"/>
        </w:rPr>
        <w:t>Provide a prognosis and any further surgery / treatment that may be required</w:t>
      </w:r>
      <w:r w:rsidR="00787908">
        <w:rPr>
          <w:sz w:val="22"/>
          <w:szCs w:val="22"/>
        </w:rPr>
        <w:t>.</w:t>
      </w:r>
      <w:r w:rsidRPr="00EA56BB">
        <w:rPr>
          <w:sz w:val="22"/>
          <w:szCs w:val="22"/>
        </w:rPr>
        <w:t xml:space="preserve"> </w:t>
      </w:r>
    </w:p>
    <w:p w:rsidR="003156C3" w:rsidRPr="00EA56BB" w:rsidRDefault="003156C3" w:rsidP="003156C3">
      <w:pPr>
        <w:pStyle w:val="Default"/>
        <w:numPr>
          <w:ilvl w:val="0"/>
          <w:numId w:val="43"/>
        </w:numPr>
        <w:rPr>
          <w:sz w:val="22"/>
          <w:szCs w:val="22"/>
        </w:rPr>
      </w:pPr>
      <w:r w:rsidRPr="00EA56BB">
        <w:rPr>
          <w:sz w:val="22"/>
          <w:szCs w:val="22"/>
        </w:rPr>
        <w:t>Provide diagrams</w:t>
      </w:r>
      <w:r w:rsidR="004E4B7A" w:rsidRPr="00EA56BB">
        <w:rPr>
          <w:sz w:val="22"/>
          <w:szCs w:val="22"/>
        </w:rPr>
        <w:t xml:space="preserve"> and images</w:t>
      </w:r>
      <w:r w:rsidRPr="00EA56BB">
        <w:rPr>
          <w:sz w:val="22"/>
          <w:szCs w:val="22"/>
        </w:rPr>
        <w:t xml:space="preserve"> where appropriate</w:t>
      </w:r>
      <w:r w:rsidR="00787908">
        <w:rPr>
          <w:sz w:val="22"/>
          <w:szCs w:val="22"/>
        </w:rPr>
        <w:t>.</w:t>
      </w:r>
    </w:p>
    <w:p w:rsidR="003156C3" w:rsidRPr="00EA56BB" w:rsidRDefault="003156C3" w:rsidP="003156C3">
      <w:pPr>
        <w:pStyle w:val="Default"/>
        <w:numPr>
          <w:ilvl w:val="0"/>
          <w:numId w:val="43"/>
        </w:numPr>
        <w:rPr>
          <w:sz w:val="22"/>
          <w:szCs w:val="22"/>
        </w:rPr>
      </w:pPr>
      <w:r w:rsidRPr="00EA56BB">
        <w:rPr>
          <w:sz w:val="22"/>
          <w:szCs w:val="22"/>
        </w:rPr>
        <w:t xml:space="preserve">Experts should not be asked or </w:t>
      </w:r>
      <w:r w:rsidR="004C6E39" w:rsidRPr="00EA56BB">
        <w:rPr>
          <w:sz w:val="22"/>
          <w:szCs w:val="22"/>
        </w:rPr>
        <w:t xml:space="preserve">be </w:t>
      </w:r>
      <w:r w:rsidRPr="00EA56BB">
        <w:rPr>
          <w:sz w:val="22"/>
          <w:szCs w:val="22"/>
        </w:rPr>
        <w:t>expected to expand on further detail beyond the actual injury caused in the case, e</w:t>
      </w:r>
      <w:r w:rsidR="001713A2" w:rsidRPr="00EA56BB">
        <w:rPr>
          <w:sz w:val="22"/>
          <w:szCs w:val="22"/>
        </w:rPr>
        <w:t>.</w:t>
      </w:r>
      <w:r w:rsidRPr="00EA56BB">
        <w:rPr>
          <w:sz w:val="22"/>
          <w:szCs w:val="22"/>
        </w:rPr>
        <w:t>g</w:t>
      </w:r>
      <w:r w:rsidR="001713A2" w:rsidRPr="00EA56BB">
        <w:rPr>
          <w:sz w:val="22"/>
          <w:szCs w:val="22"/>
        </w:rPr>
        <w:t>.</w:t>
      </w:r>
      <w:r w:rsidRPr="00EA56BB">
        <w:rPr>
          <w:sz w:val="22"/>
          <w:szCs w:val="22"/>
        </w:rPr>
        <w:t xml:space="preserve"> it is not necessary to detail the incidence of FGM in any country, or the particu</w:t>
      </w:r>
      <w:r w:rsidR="00524B1F" w:rsidRPr="00EA56BB">
        <w:rPr>
          <w:sz w:val="22"/>
          <w:szCs w:val="22"/>
        </w:rPr>
        <w:t>lar type of FGM performed there</w:t>
      </w:r>
      <w:r w:rsidR="00787908">
        <w:rPr>
          <w:sz w:val="22"/>
          <w:szCs w:val="22"/>
        </w:rPr>
        <w:t>.</w:t>
      </w:r>
    </w:p>
    <w:p w:rsidR="003156C3" w:rsidRPr="00EA56BB" w:rsidRDefault="000D3698" w:rsidP="003156C3">
      <w:pPr>
        <w:pStyle w:val="Default"/>
        <w:numPr>
          <w:ilvl w:val="0"/>
          <w:numId w:val="43"/>
        </w:numPr>
        <w:rPr>
          <w:sz w:val="22"/>
          <w:szCs w:val="22"/>
        </w:rPr>
      </w:pPr>
      <w:r>
        <w:rPr>
          <w:sz w:val="22"/>
          <w:szCs w:val="22"/>
        </w:rPr>
        <w:t xml:space="preserve">If the initial examination hasn’t been recorded then </w:t>
      </w:r>
      <w:r w:rsidR="003156C3" w:rsidRPr="00EA56BB">
        <w:rPr>
          <w:sz w:val="22"/>
          <w:szCs w:val="22"/>
        </w:rPr>
        <w:t>any examination</w:t>
      </w:r>
      <w:r w:rsidR="009B1DB0">
        <w:rPr>
          <w:sz w:val="22"/>
          <w:szCs w:val="22"/>
        </w:rPr>
        <w:t xml:space="preserve"> required</w:t>
      </w:r>
      <w:r w:rsidR="003156C3" w:rsidRPr="00EA56BB">
        <w:rPr>
          <w:sz w:val="22"/>
          <w:szCs w:val="22"/>
        </w:rPr>
        <w:t xml:space="preserve"> by an expert should be filmed and relevant photographs taken</w:t>
      </w:r>
      <w:r w:rsidR="00E203A0" w:rsidRPr="00EA56BB">
        <w:rPr>
          <w:sz w:val="22"/>
          <w:szCs w:val="22"/>
        </w:rPr>
        <w:t xml:space="preserve"> </w:t>
      </w:r>
      <w:r w:rsidR="00E203A0" w:rsidRPr="00EA56BB">
        <w:rPr>
          <w:color w:val="000000" w:themeColor="text1"/>
          <w:sz w:val="22"/>
          <w:szCs w:val="22"/>
        </w:rPr>
        <w:t>as well as detailed.</w:t>
      </w:r>
      <w:r w:rsidR="003156C3" w:rsidRPr="00EA56BB">
        <w:rPr>
          <w:sz w:val="22"/>
          <w:szCs w:val="22"/>
        </w:rPr>
        <w:t xml:space="preserve"> This will obviate the need for a </w:t>
      </w:r>
      <w:r>
        <w:rPr>
          <w:sz w:val="22"/>
          <w:szCs w:val="22"/>
        </w:rPr>
        <w:t>further</w:t>
      </w:r>
      <w:r w:rsidR="003156C3" w:rsidRPr="00EA56BB">
        <w:rPr>
          <w:sz w:val="22"/>
          <w:szCs w:val="22"/>
        </w:rPr>
        <w:t xml:space="preserve"> examinati</w:t>
      </w:r>
      <w:r w:rsidR="00524B1F" w:rsidRPr="00EA56BB">
        <w:rPr>
          <w:sz w:val="22"/>
          <w:szCs w:val="22"/>
        </w:rPr>
        <w:t>on, for example by the defence</w:t>
      </w:r>
      <w:r w:rsidR="00787908">
        <w:rPr>
          <w:sz w:val="22"/>
          <w:szCs w:val="22"/>
        </w:rPr>
        <w:t>.</w:t>
      </w:r>
    </w:p>
    <w:p w:rsidR="00612289" w:rsidRPr="00EA56BB" w:rsidRDefault="00612289" w:rsidP="00612289">
      <w:pPr>
        <w:pStyle w:val="Default"/>
        <w:rPr>
          <w:bCs/>
          <w:sz w:val="22"/>
          <w:szCs w:val="22"/>
          <w:highlight w:val="yellow"/>
        </w:rPr>
      </w:pPr>
    </w:p>
    <w:p w:rsidR="00612289" w:rsidRDefault="00612289" w:rsidP="00612289">
      <w:pPr>
        <w:pStyle w:val="Default"/>
        <w:rPr>
          <w:bCs/>
          <w:sz w:val="22"/>
          <w:szCs w:val="22"/>
        </w:rPr>
      </w:pPr>
      <w:r w:rsidRPr="00EA56BB">
        <w:rPr>
          <w:bCs/>
          <w:sz w:val="22"/>
          <w:szCs w:val="22"/>
        </w:rPr>
        <w:t>5.</w:t>
      </w:r>
      <w:r w:rsidR="009A2091">
        <w:rPr>
          <w:bCs/>
          <w:sz w:val="22"/>
          <w:szCs w:val="22"/>
        </w:rPr>
        <w:t>2</w:t>
      </w:r>
      <w:r w:rsidRPr="00EA56BB">
        <w:rPr>
          <w:bCs/>
          <w:sz w:val="22"/>
          <w:szCs w:val="22"/>
        </w:rPr>
        <w:t xml:space="preserve"> The CPS will usually include the expert who gives a second opinion</w:t>
      </w:r>
      <w:r w:rsidRPr="00EA56BB">
        <w:rPr>
          <w:bCs/>
          <w:sz w:val="22"/>
          <w:szCs w:val="22"/>
          <w:lang w:val="en-US"/>
        </w:rPr>
        <w:t xml:space="preserve"> </w:t>
      </w:r>
      <w:r w:rsidRPr="00EA56BB">
        <w:rPr>
          <w:bCs/>
          <w:sz w:val="22"/>
          <w:szCs w:val="22"/>
        </w:rPr>
        <w:t>in the conference with the prosecutor, trial advocate and the investigating officer (IO) unless there are particular reasons for not doing so. It is also likely that the expert will be called as a live witness at trial.</w:t>
      </w:r>
    </w:p>
    <w:p w:rsidR="00202FD7" w:rsidRDefault="00202FD7" w:rsidP="00612289">
      <w:pPr>
        <w:pStyle w:val="Default"/>
        <w:rPr>
          <w:bCs/>
          <w:sz w:val="22"/>
          <w:szCs w:val="22"/>
        </w:rPr>
      </w:pPr>
    </w:p>
    <w:p w:rsidR="00202FD7" w:rsidRPr="00EA56BB" w:rsidRDefault="00202FD7" w:rsidP="00612289">
      <w:pPr>
        <w:pStyle w:val="Default"/>
        <w:rPr>
          <w:bCs/>
          <w:sz w:val="22"/>
          <w:szCs w:val="22"/>
        </w:rPr>
      </w:pPr>
      <w:r>
        <w:rPr>
          <w:bCs/>
          <w:sz w:val="22"/>
          <w:szCs w:val="22"/>
        </w:rPr>
        <w:t>5.</w:t>
      </w:r>
      <w:r w:rsidR="009A2091">
        <w:rPr>
          <w:bCs/>
          <w:sz w:val="22"/>
          <w:szCs w:val="22"/>
        </w:rPr>
        <w:t>3</w:t>
      </w:r>
      <w:r>
        <w:rPr>
          <w:bCs/>
          <w:sz w:val="22"/>
          <w:szCs w:val="22"/>
        </w:rPr>
        <w:t xml:space="preserve"> </w:t>
      </w:r>
      <w:r w:rsidR="00C41CF0">
        <w:rPr>
          <w:bCs/>
          <w:sz w:val="22"/>
          <w:szCs w:val="22"/>
        </w:rPr>
        <w:t>Wherever possible,</w:t>
      </w:r>
      <w:r w:rsidR="00F721E5">
        <w:rPr>
          <w:bCs/>
          <w:sz w:val="22"/>
          <w:szCs w:val="22"/>
        </w:rPr>
        <w:t xml:space="preserve"> if a medical expert is to appear in court, they</w:t>
      </w:r>
      <w:r w:rsidR="00C41CF0">
        <w:rPr>
          <w:bCs/>
          <w:sz w:val="22"/>
          <w:szCs w:val="22"/>
        </w:rPr>
        <w:t xml:space="preserve"> should be given </w:t>
      </w:r>
      <w:r w:rsidR="00F721E5">
        <w:rPr>
          <w:bCs/>
          <w:sz w:val="22"/>
          <w:szCs w:val="22"/>
        </w:rPr>
        <w:t xml:space="preserve">as much </w:t>
      </w:r>
      <w:r w:rsidR="00F721E5" w:rsidRPr="00F721E5">
        <w:rPr>
          <w:bCs/>
          <w:sz w:val="22"/>
          <w:szCs w:val="22"/>
        </w:rPr>
        <w:t xml:space="preserve">notice and as precise </w:t>
      </w:r>
      <w:r w:rsidR="00F721E5">
        <w:rPr>
          <w:bCs/>
          <w:sz w:val="22"/>
          <w:szCs w:val="22"/>
        </w:rPr>
        <w:t xml:space="preserve">a </w:t>
      </w:r>
      <w:r w:rsidR="00F721E5" w:rsidRPr="00F721E5">
        <w:rPr>
          <w:bCs/>
          <w:sz w:val="22"/>
          <w:szCs w:val="22"/>
        </w:rPr>
        <w:t>time slot</w:t>
      </w:r>
      <w:r w:rsidR="00F721E5">
        <w:rPr>
          <w:bCs/>
          <w:sz w:val="22"/>
          <w:szCs w:val="22"/>
        </w:rPr>
        <w:t xml:space="preserve"> as possible. The majority of experts will have clinics to attend to and as such will want to avoid cancelling scheduled appointments at last minute.</w:t>
      </w:r>
    </w:p>
    <w:p w:rsidR="00612289" w:rsidRPr="00EA56BB" w:rsidRDefault="00612289" w:rsidP="00612289">
      <w:pPr>
        <w:pStyle w:val="Default"/>
        <w:rPr>
          <w:sz w:val="22"/>
          <w:szCs w:val="22"/>
        </w:rPr>
      </w:pPr>
    </w:p>
    <w:p w:rsidR="009C0F7C" w:rsidRPr="00EA56BB" w:rsidRDefault="002D1AD5" w:rsidP="009C0F7C">
      <w:pPr>
        <w:pStyle w:val="Default"/>
        <w:rPr>
          <w:b/>
          <w:bCs/>
          <w:sz w:val="22"/>
          <w:szCs w:val="22"/>
        </w:rPr>
      </w:pPr>
      <w:bookmarkStart w:id="7" w:name="Section6"/>
      <w:r w:rsidRPr="00EA56BB">
        <w:rPr>
          <w:b/>
          <w:bCs/>
          <w:sz w:val="22"/>
          <w:szCs w:val="22"/>
        </w:rPr>
        <w:t>6</w:t>
      </w:r>
      <w:r w:rsidR="009C0F7C" w:rsidRPr="00EA56BB">
        <w:rPr>
          <w:b/>
          <w:bCs/>
          <w:sz w:val="22"/>
          <w:szCs w:val="22"/>
        </w:rPr>
        <w:t xml:space="preserve">. SECTION </w:t>
      </w:r>
      <w:r w:rsidRPr="00EA56BB">
        <w:rPr>
          <w:b/>
          <w:bCs/>
          <w:sz w:val="22"/>
          <w:szCs w:val="22"/>
        </w:rPr>
        <w:t>6</w:t>
      </w:r>
      <w:r w:rsidR="009C0F7C" w:rsidRPr="00EA56BB">
        <w:rPr>
          <w:b/>
          <w:bCs/>
          <w:sz w:val="22"/>
          <w:szCs w:val="22"/>
        </w:rPr>
        <w:t xml:space="preserve"> </w:t>
      </w:r>
      <w:bookmarkEnd w:id="7"/>
      <w:r w:rsidR="009C0F7C" w:rsidRPr="00EA56BB">
        <w:rPr>
          <w:b/>
          <w:bCs/>
          <w:sz w:val="22"/>
          <w:szCs w:val="22"/>
        </w:rPr>
        <w:t xml:space="preserve">– </w:t>
      </w:r>
      <w:r w:rsidR="008A0F38" w:rsidRPr="00EA56BB">
        <w:rPr>
          <w:b/>
          <w:bCs/>
          <w:sz w:val="22"/>
          <w:szCs w:val="22"/>
        </w:rPr>
        <w:t>REFERRAL,</w:t>
      </w:r>
      <w:r w:rsidR="009C0F7C" w:rsidRPr="00EA56BB">
        <w:rPr>
          <w:b/>
          <w:bCs/>
          <w:sz w:val="22"/>
          <w:szCs w:val="22"/>
        </w:rPr>
        <w:t xml:space="preserve"> CHARGING</w:t>
      </w:r>
      <w:r w:rsidR="008A0F38" w:rsidRPr="00EA56BB">
        <w:rPr>
          <w:b/>
          <w:bCs/>
          <w:sz w:val="22"/>
          <w:szCs w:val="22"/>
        </w:rPr>
        <w:t xml:space="preserve"> AND DISCLOSURE</w:t>
      </w:r>
      <w:r w:rsidR="009C0F7C" w:rsidRPr="00EA56BB">
        <w:rPr>
          <w:b/>
          <w:bCs/>
          <w:sz w:val="22"/>
          <w:szCs w:val="22"/>
        </w:rPr>
        <w:t xml:space="preserve"> </w:t>
      </w:r>
    </w:p>
    <w:p w:rsidR="009C0F7C" w:rsidRPr="00EA56BB" w:rsidRDefault="009C0F7C" w:rsidP="009C0F7C">
      <w:pPr>
        <w:pStyle w:val="Default"/>
        <w:rPr>
          <w:b/>
          <w:bCs/>
          <w:sz w:val="22"/>
          <w:szCs w:val="22"/>
        </w:rPr>
      </w:pPr>
    </w:p>
    <w:p w:rsidR="009C0F7C" w:rsidRPr="00EA56BB" w:rsidRDefault="002D1AD5" w:rsidP="009C0F7C">
      <w:pPr>
        <w:pStyle w:val="Default"/>
        <w:rPr>
          <w:bCs/>
          <w:sz w:val="22"/>
          <w:szCs w:val="22"/>
        </w:rPr>
      </w:pPr>
      <w:r w:rsidRPr="00EA56BB">
        <w:rPr>
          <w:bCs/>
          <w:sz w:val="22"/>
          <w:szCs w:val="22"/>
        </w:rPr>
        <w:t>6</w:t>
      </w:r>
      <w:r w:rsidR="009C0F7C" w:rsidRPr="00EA56BB">
        <w:rPr>
          <w:bCs/>
          <w:sz w:val="22"/>
          <w:szCs w:val="22"/>
        </w:rPr>
        <w:t>.1</w:t>
      </w:r>
      <w:r w:rsidR="009C0F7C" w:rsidRPr="00EA56BB">
        <w:rPr>
          <w:sz w:val="22"/>
          <w:szCs w:val="22"/>
        </w:rPr>
        <w:t xml:space="preserve"> </w:t>
      </w:r>
      <w:r w:rsidR="00CA1048" w:rsidRPr="00CA1048">
        <w:rPr>
          <w:sz w:val="22"/>
          <w:szCs w:val="22"/>
        </w:rPr>
        <w:t xml:space="preserve">To facilitate effective referral and charging practices between the police and the CPS, all police forces, and all CPS areas will appoint Leads for </w:t>
      </w:r>
      <w:r w:rsidR="00CA1048">
        <w:rPr>
          <w:sz w:val="22"/>
          <w:szCs w:val="22"/>
        </w:rPr>
        <w:t>FGM</w:t>
      </w:r>
      <w:r w:rsidR="00CA1048" w:rsidRPr="00CA1048">
        <w:rPr>
          <w:sz w:val="22"/>
          <w:szCs w:val="22"/>
        </w:rPr>
        <w:t xml:space="preserve"> cases.  A list of the Leads will be contained as a separate annex for police forces and the CPS which will be held with the CPS and NPCC, </w:t>
      </w:r>
      <w:r w:rsidR="00CA1048">
        <w:rPr>
          <w:sz w:val="22"/>
          <w:szCs w:val="22"/>
        </w:rPr>
        <w:t xml:space="preserve">FGM </w:t>
      </w:r>
      <w:r w:rsidR="00CA1048" w:rsidRPr="00CA1048">
        <w:rPr>
          <w:sz w:val="22"/>
          <w:szCs w:val="22"/>
        </w:rPr>
        <w:t xml:space="preserve">Policy Leads.  </w:t>
      </w:r>
      <w:r w:rsidR="009C0F7C" w:rsidRPr="00EA56BB">
        <w:rPr>
          <w:bCs/>
          <w:sz w:val="22"/>
          <w:szCs w:val="22"/>
        </w:rPr>
        <w:t>There must be early consultation between the police and CPS.  This will focus on building strong cases for prosecution from the outset</w:t>
      </w:r>
      <w:r w:rsidR="005D3EAA" w:rsidRPr="00EA56BB">
        <w:rPr>
          <w:bCs/>
          <w:sz w:val="22"/>
          <w:szCs w:val="22"/>
        </w:rPr>
        <w:t>, ensuring that all possible avenues of evidence are explored and that the correct charge is identified</w:t>
      </w:r>
      <w:r w:rsidR="009C0F7C" w:rsidRPr="00EA56BB">
        <w:rPr>
          <w:bCs/>
          <w:sz w:val="22"/>
          <w:szCs w:val="22"/>
        </w:rPr>
        <w:t>.  CPS Areas must alert Senior Area Managers and CPS HQ of all FGM cases within 24 hours of being made aware of them at pre-investigative stage. Early notification and brief details from the police will be required to facilitate this. The police will provide on-going updates on:</w:t>
      </w:r>
    </w:p>
    <w:p w:rsidR="009C0F7C" w:rsidRPr="00EA56BB" w:rsidRDefault="009C0F7C" w:rsidP="009C0F7C">
      <w:pPr>
        <w:pStyle w:val="Default"/>
        <w:numPr>
          <w:ilvl w:val="0"/>
          <w:numId w:val="42"/>
        </w:numPr>
        <w:rPr>
          <w:bCs/>
          <w:sz w:val="22"/>
          <w:szCs w:val="22"/>
        </w:rPr>
      </w:pPr>
      <w:r w:rsidRPr="00EA56BB">
        <w:rPr>
          <w:bCs/>
          <w:sz w:val="22"/>
          <w:szCs w:val="22"/>
        </w:rPr>
        <w:t xml:space="preserve">results of enquiries following early investigative advice;  </w:t>
      </w:r>
    </w:p>
    <w:p w:rsidR="009C0F7C" w:rsidRPr="00EA56BB" w:rsidRDefault="009C0F7C" w:rsidP="009C0F7C">
      <w:pPr>
        <w:pStyle w:val="Default"/>
        <w:numPr>
          <w:ilvl w:val="0"/>
          <w:numId w:val="42"/>
        </w:numPr>
        <w:rPr>
          <w:bCs/>
          <w:sz w:val="22"/>
          <w:szCs w:val="22"/>
        </w:rPr>
      </w:pPr>
      <w:r w:rsidRPr="00EA56BB">
        <w:rPr>
          <w:bCs/>
          <w:sz w:val="22"/>
          <w:szCs w:val="22"/>
        </w:rPr>
        <w:t>further information and evidence; and</w:t>
      </w:r>
    </w:p>
    <w:p w:rsidR="009C0F7C" w:rsidRPr="00EA56BB" w:rsidRDefault="007152ED" w:rsidP="009C0F7C">
      <w:pPr>
        <w:pStyle w:val="Default"/>
        <w:numPr>
          <w:ilvl w:val="0"/>
          <w:numId w:val="42"/>
        </w:numPr>
        <w:rPr>
          <w:bCs/>
          <w:sz w:val="22"/>
          <w:szCs w:val="22"/>
        </w:rPr>
      </w:pPr>
      <w:proofErr w:type="gramStart"/>
      <w:r>
        <w:rPr>
          <w:bCs/>
          <w:sz w:val="22"/>
          <w:szCs w:val="22"/>
        </w:rPr>
        <w:t>complainant</w:t>
      </w:r>
      <w:proofErr w:type="gramEnd"/>
      <w:r w:rsidR="009C0F7C" w:rsidRPr="00EA56BB">
        <w:rPr>
          <w:bCs/>
          <w:sz w:val="22"/>
          <w:szCs w:val="22"/>
        </w:rPr>
        <w:t xml:space="preserve"> issues – including FGM Protection Orders (see </w:t>
      </w:r>
      <w:hyperlink w:anchor="Section7" w:history="1">
        <w:r w:rsidR="00F434E0">
          <w:rPr>
            <w:rStyle w:val="Hyperlink"/>
            <w:rFonts w:cs="Arial"/>
            <w:bCs/>
            <w:sz w:val="22"/>
            <w:szCs w:val="22"/>
          </w:rPr>
          <w:t>section 7 on FGMPOs below</w:t>
        </w:r>
      </w:hyperlink>
      <w:r w:rsidR="009C0F7C" w:rsidRPr="00EA56BB">
        <w:rPr>
          <w:bCs/>
          <w:sz w:val="22"/>
          <w:szCs w:val="22"/>
        </w:rPr>
        <w:t xml:space="preserve">). </w:t>
      </w:r>
    </w:p>
    <w:p w:rsidR="009C0F7C" w:rsidRPr="00EA56BB" w:rsidRDefault="009C0F7C" w:rsidP="009C0F7C">
      <w:pPr>
        <w:pStyle w:val="Default"/>
        <w:rPr>
          <w:bCs/>
          <w:sz w:val="22"/>
          <w:szCs w:val="22"/>
        </w:rPr>
      </w:pPr>
    </w:p>
    <w:p w:rsidR="005D3EAA" w:rsidRPr="00EA56BB" w:rsidRDefault="005D3EAA" w:rsidP="005D3EAA">
      <w:pPr>
        <w:pStyle w:val="Default"/>
        <w:rPr>
          <w:sz w:val="22"/>
          <w:szCs w:val="22"/>
        </w:rPr>
      </w:pPr>
      <w:r w:rsidRPr="00EA56BB">
        <w:rPr>
          <w:sz w:val="22"/>
          <w:szCs w:val="22"/>
        </w:rPr>
        <w:t>6.2 Early consultations need not be restricted to cases where there is already an identifiable suspect or that pass the threshold test. They may take place in any case where the early involvement of a prosecutor would assist in the gathering of relevant evidence, the questions to be asked of suspects, any pre-charge court procedures and any strategy for a likely prosecution. A brief written record of the consultation will be made by the prosecutor.</w:t>
      </w:r>
    </w:p>
    <w:p w:rsidR="005D3EAA" w:rsidRPr="00EA56BB" w:rsidRDefault="005D3EAA" w:rsidP="005D3EAA">
      <w:pPr>
        <w:pStyle w:val="Default"/>
        <w:rPr>
          <w:sz w:val="22"/>
          <w:szCs w:val="22"/>
        </w:rPr>
      </w:pPr>
    </w:p>
    <w:p w:rsidR="005D3EAA" w:rsidRPr="00EA56BB" w:rsidRDefault="005D3EAA" w:rsidP="005D3EAA">
      <w:pPr>
        <w:pStyle w:val="Default"/>
        <w:rPr>
          <w:sz w:val="22"/>
          <w:szCs w:val="22"/>
        </w:rPr>
      </w:pPr>
      <w:r w:rsidRPr="00EA56BB">
        <w:rPr>
          <w:sz w:val="22"/>
          <w:szCs w:val="22"/>
        </w:rPr>
        <w:t>6.3 The Police will ensure that any statements supplied to the prosecutor at the pre-charge stage contain the witness’s details on the reverse of the MG11 and where required will be accompanied by a completed MG2 to ensure that any requirement for special measures receives early informed consideration. Where a witness has provided a visually recorded interview, an MG2 will be completed and supplied to the prosecutor as a matter of course.</w:t>
      </w:r>
    </w:p>
    <w:p w:rsidR="005D3EAA" w:rsidRPr="00EA56BB" w:rsidRDefault="005D3EAA" w:rsidP="005D3EAA">
      <w:pPr>
        <w:pStyle w:val="Default"/>
        <w:rPr>
          <w:sz w:val="22"/>
          <w:szCs w:val="22"/>
        </w:rPr>
      </w:pPr>
    </w:p>
    <w:p w:rsidR="005D3EAA" w:rsidRPr="00EA56BB" w:rsidRDefault="005D3EAA" w:rsidP="005D3EAA">
      <w:pPr>
        <w:pStyle w:val="Default"/>
        <w:rPr>
          <w:sz w:val="22"/>
          <w:szCs w:val="22"/>
        </w:rPr>
      </w:pPr>
      <w:r w:rsidRPr="00EA56BB">
        <w:rPr>
          <w:sz w:val="22"/>
          <w:szCs w:val="22"/>
        </w:rPr>
        <w:t>6.4 Unless the circumstances require the application of the threshold test, the police will provide the CPS lead responsible for making the charging decision with an evidential report containing the following:</w:t>
      </w:r>
    </w:p>
    <w:p w:rsidR="005D3EAA" w:rsidRPr="00EA56BB" w:rsidRDefault="005D3EAA" w:rsidP="005D3EAA">
      <w:pPr>
        <w:pStyle w:val="Default"/>
        <w:numPr>
          <w:ilvl w:val="1"/>
          <w:numId w:val="44"/>
        </w:numPr>
        <w:rPr>
          <w:sz w:val="22"/>
          <w:szCs w:val="22"/>
        </w:rPr>
      </w:pPr>
      <w:r w:rsidRPr="00EA56BB">
        <w:rPr>
          <w:sz w:val="22"/>
          <w:szCs w:val="22"/>
        </w:rPr>
        <w:t>All key witness statements including medical and forensic;</w:t>
      </w:r>
    </w:p>
    <w:p w:rsidR="005D3EAA" w:rsidRPr="00EA56BB" w:rsidRDefault="005D3EAA" w:rsidP="005D3EAA">
      <w:pPr>
        <w:pStyle w:val="Default"/>
        <w:numPr>
          <w:ilvl w:val="1"/>
          <w:numId w:val="44"/>
        </w:numPr>
        <w:rPr>
          <w:sz w:val="22"/>
          <w:szCs w:val="22"/>
        </w:rPr>
      </w:pPr>
      <w:r w:rsidRPr="00EA56BB">
        <w:rPr>
          <w:sz w:val="22"/>
          <w:szCs w:val="22"/>
        </w:rPr>
        <w:t>Visually recorded witness interviews and accompanying ROVIs;</w:t>
      </w:r>
    </w:p>
    <w:p w:rsidR="005D3EAA" w:rsidRPr="00EA56BB" w:rsidRDefault="005D3EAA" w:rsidP="005D3EAA">
      <w:pPr>
        <w:pStyle w:val="Default"/>
        <w:numPr>
          <w:ilvl w:val="1"/>
          <w:numId w:val="44"/>
        </w:numPr>
        <w:rPr>
          <w:sz w:val="22"/>
          <w:szCs w:val="22"/>
        </w:rPr>
      </w:pPr>
      <w:r w:rsidRPr="00EA56BB">
        <w:rPr>
          <w:sz w:val="22"/>
          <w:szCs w:val="22"/>
        </w:rPr>
        <w:t>All key documentary exhibits;</w:t>
      </w:r>
    </w:p>
    <w:p w:rsidR="005D3EAA" w:rsidRPr="00EA56BB" w:rsidRDefault="005D3EAA" w:rsidP="005D3EAA">
      <w:pPr>
        <w:pStyle w:val="Default"/>
        <w:numPr>
          <w:ilvl w:val="1"/>
          <w:numId w:val="44"/>
        </w:numPr>
        <w:rPr>
          <w:sz w:val="22"/>
          <w:szCs w:val="22"/>
        </w:rPr>
      </w:pPr>
      <w:r w:rsidRPr="00EA56BB">
        <w:rPr>
          <w:sz w:val="22"/>
          <w:szCs w:val="22"/>
        </w:rPr>
        <w:t>Record of suspect's interview;</w:t>
      </w:r>
    </w:p>
    <w:p w:rsidR="005D3EAA" w:rsidRPr="00EA56BB" w:rsidRDefault="005D3EAA" w:rsidP="005D3EAA">
      <w:pPr>
        <w:pStyle w:val="Default"/>
        <w:numPr>
          <w:ilvl w:val="1"/>
          <w:numId w:val="44"/>
        </w:numPr>
        <w:rPr>
          <w:sz w:val="22"/>
          <w:szCs w:val="22"/>
        </w:rPr>
      </w:pPr>
      <w:r w:rsidRPr="00EA56BB">
        <w:rPr>
          <w:sz w:val="22"/>
          <w:szCs w:val="22"/>
        </w:rPr>
        <w:t>Any unused material which undermines the prosecution case or may assist the case for the accused including items relating to the complainant's credibility;</w:t>
      </w:r>
    </w:p>
    <w:p w:rsidR="005D3EAA" w:rsidRPr="00EA56BB" w:rsidRDefault="005D3EAA" w:rsidP="005D3EAA">
      <w:pPr>
        <w:pStyle w:val="Default"/>
        <w:numPr>
          <w:ilvl w:val="1"/>
          <w:numId w:val="44"/>
        </w:numPr>
        <w:rPr>
          <w:sz w:val="22"/>
          <w:szCs w:val="22"/>
        </w:rPr>
      </w:pPr>
      <w:r w:rsidRPr="00EA56BB">
        <w:rPr>
          <w:sz w:val="22"/>
          <w:szCs w:val="22"/>
        </w:rPr>
        <w:t>Any third party material that is available including social services' records;</w:t>
      </w:r>
    </w:p>
    <w:p w:rsidR="005D3EAA" w:rsidRPr="00EA56BB" w:rsidRDefault="005D3EAA" w:rsidP="005D3EAA">
      <w:pPr>
        <w:pStyle w:val="Default"/>
        <w:numPr>
          <w:ilvl w:val="1"/>
          <w:numId w:val="44"/>
        </w:numPr>
        <w:rPr>
          <w:sz w:val="22"/>
          <w:szCs w:val="22"/>
        </w:rPr>
      </w:pPr>
      <w:r w:rsidRPr="00EA56BB">
        <w:rPr>
          <w:sz w:val="22"/>
          <w:szCs w:val="22"/>
        </w:rPr>
        <w:t>Previous convictions of any suspect, complainant and witnesses.</w:t>
      </w:r>
    </w:p>
    <w:p w:rsidR="005D3EAA" w:rsidRPr="00EA56BB" w:rsidRDefault="005D3EAA" w:rsidP="00632D08">
      <w:pPr>
        <w:pStyle w:val="Default"/>
        <w:rPr>
          <w:bCs/>
          <w:sz w:val="22"/>
          <w:szCs w:val="22"/>
        </w:rPr>
      </w:pPr>
    </w:p>
    <w:p w:rsidR="00632D08" w:rsidRPr="00EA56BB" w:rsidRDefault="002D1AD5" w:rsidP="00632D08">
      <w:pPr>
        <w:pStyle w:val="Default"/>
        <w:rPr>
          <w:bCs/>
          <w:sz w:val="22"/>
          <w:szCs w:val="22"/>
        </w:rPr>
      </w:pPr>
      <w:r w:rsidRPr="00EA56BB">
        <w:rPr>
          <w:bCs/>
          <w:sz w:val="22"/>
          <w:szCs w:val="22"/>
        </w:rPr>
        <w:t>6</w:t>
      </w:r>
      <w:r w:rsidR="00632D08" w:rsidRPr="00EA56BB">
        <w:rPr>
          <w:bCs/>
          <w:sz w:val="22"/>
          <w:szCs w:val="22"/>
        </w:rPr>
        <w:t>.</w:t>
      </w:r>
      <w:r w:rsidR="005D3EAA" w:rsidRPr="00EA56BB">
        <w:rPr>
          <w:bCs/>
          <w:sz w:val="22"/>
          <w:szCs w:val="22"/>
        </w:rPr>
        <w:t>5</w:t>
      </w:r>
      <w:r w:rsidR="00632D08" w:rsidRPr="00EA56BB">
        <w:rPr>
          <w:bCs/>
          <w:sz w:val="22"/>
          <w:szCs w:val="22"/>
        </w:rPr>
        <w:t xml:space="preserve"> The CPS Area FGM lead will provide a provisional assessment of the case, lines of further enquiry. Identification of the likely charges and of the evidence required to support them. They will be proactive in identifying, and where possible rectifying, evidential deficiencies and in bringing to an early conclusion those cases that cannot be strengthened by further evidence. </w:t>
      </w:r>
      <w:r w:rsidR="00881725" w:rsidRPr="00EA56BB">
        <w:rPr>
          <w:bCs/>
          <w:sz w:val="22"/>
          <w:szCs w:val="22"/>
        </w:rPr>
        <w:t xml:space="preserve">Consultation will be face to face wherever possible. In exceptional circumstances a telephone consultation may be considered. </w:t>
      </w:r>
    </w:p>
    <w:p w:rsidR="00632D08" w:rsidRPr="00EA56BB" w:rsidRDefault="00632D08" w:rsidP="009C0F7C">
      <w:pPr>
        <w:pStyle w:val="Default"/>
        <w:rPr>
          <w:bCs/>
          <w:sz w:val="22"/>
          <w:szCs w:val="22"/>
        </w:rPr>
      </w:pPr>
    </w:p>
    <w:p w:rsidR="009C0F7C" w:rsidRPr="00EA56BB" w:rsidRDefault="002D1AD5" w:rsidP="009C0F7C">
      <w:pPr>
        <w:pStyle w:val="Default"/>
        <w:rPr>
          <w:bCs/>
          <w:sz w:val="22"/>
          <w:szCs w:val="22"/>
        </w:rPr>
      </w:pPr>
      <w:r w:rsidRPr="00EA56BB">
        <w:rPr>
          <w:bCs/>
          <w:sz w:val="22"/>
          <w:szCs w:val="22"/>
        </w:rPr>
        <w:t>6</w:t>
      </w:r>
      <w:r w:rsidR="009C0F7C" w:rsidRPr="00EA56BB">
        <w:rPr>
          <w:bCs/>
          <w:sz w:val="22"/>
          <w:szCs w:val="22"/>
        </w:rPr>
        <w:t>.</w:t>
      </w:r>
      <w:r w:rsidR="005D3EAA" w:rsidRPr="00EA56BB">
        <w:rPr>
          <w:bCs/>
          <w:sz w:val="22"/>
          <w:szCs w:val="22"/>
        </w:rPr>
        <w:t>6</w:t>
      </w:r>
      <w:r w:rsidR="009C0F7C" w:rsidRPr="00EA56BB">
        <w:rPr>
          <w:bCs/>
          <w:sz w:val="22"/>
          <w:szCs w:val="22"/>
        </w:rPr>
        <w:t xml:space="preserve"> Reasons for delays in obtaining further information and evidence should also be notified to the CPS. Where relevant, the CPS will elevate actions to more senior officers to expedite. </w:t>
      </w:r>
    </w:p>
    <w:p w:rsidR="009C0F7C" w:rsidRPr="00EA56BB" w:rsidRDefault="009C0F7C" w:rsidP="009C0F7C">
      <w:pPr>
        <w:pStyle w:val="Default"/>
        <w:rPr>
          <w:bCs/>
          <w:sz w:val="22"/>
          <w:szCs w:val="22"/>
        </w:rPr>
      </w:pPr>
    </w:p>
    <w:p w:rsidR="009C0F7C" w:rsidRPr="00EA56BB" w:rsidRDefault="002D1AD5" w:rsidP="009C0F7C">
      <w:pPr>
        <w:pStyle w:val="Default"/>
        <w:rPr>
          <w:bCs/>
          <w:sz w:val="22"/>
          <w:szCs w:val="22"/>
          <w:u w:val="single"/>
        </w:rPr>
      </w:pPr>
      <w:r w:rsidRPr="00EA56BB">
        <w:rPr>
          <w:bCs/>
          <w:sz w:val="22"/>
          <w:szCs w:val="22"/>
          <w:u w:val="single"/>
        </w:rPr>
        <w:t>6</w:t>
      </w:r>
      <w:r w:rsidR="009C0F7C" w:rsidRPr="00EA56BB">
        <w:rPr>
          <w:bCs/>
          <w:sz w:val="22"/>
          <w:szCs w:val="22"/>
          <w:u w:val="single"/>
        </w:rPr>
        <w:t>.</w:t>
      </w:r>
      <w:r w:rsidR="00817655" w:rsidRPr="00EA56BB">
        <w:rPr>
          <w:bCs/>
          <w:sz w:val="22"/>
          <w:szCs w:val="22"/>
          <w:u w:val="single"/>
        </w:rPr>
        <w:t>7</w:t>
      </w:r>
      <w:r w:rsidR="009C0F7C" w:rsidRPr="00EA56BB">
        <w:rPr>
          <w:bCs/>
          <w:sz w:val="22"/>
          <w:szCs w:val="22"/>
          <w:u w:val="single"/>
        </w:rPr>
        <w:t xml:space="preserve"> No decisions to charge a case or </w:t>
      </w:r>
      <w:proofErr w:type="gramStart"/>
      <w:r w:rsidR="009C0F7C" w:rsidRPr="00EA56BB">
        <w:rPr>
          <w:bCs/>
          <w:sz w:val="22"/>
          <w:szCs w:val="22"/>
          <w:u w:val="single"/>
        </w:rPr>
        <w:t>advise</w:t>
      </w:r>
      <w:proofErr w:type="gramEnd"/>
      <w:r w:rsidR="009C0F7C" w:rsidRPr="00EA56BB">
        <w:rPr>
          <w:bCs/>
          <w:sz w:val="22"/>
          <w:szCs w:val="22"/>
          <w:u w:val="single"/>
        </w:rPr>
        <w:t xml:space="preserve"> on no further action (NFA) should be made without referral to the CPS or without the authority of the Director of Public Prosecutions (DPP). All cases of FGM must be recorded on the sensitive case list.</w:t>
      </w:r>
    </w:p>
    <w:p w:rsidR="009C0F7C" w:rsidRPr="00EA56BB" w:rsidRDefault="009C0F7C" w:rsidP="009C0F7C">
      <w:pPr>
        <w:pStyle w:val="Default"/>
        <w:rPr>
          <w:bCs/>
          <w:sz w:val="22"/>
          <w:szCs w:val="22"/>
          <w:u w:val="single"/>
        </w:rPr>
      </w:pPr>
    </w:p>
    <w:p w:rsidR="00586A79" w:rsidRDefault="005D3EAA" w:rsidP="000D1E16">
      <w:pPr>
        <w:pStyle w:val="Default"/>
        <w:rPr>
          <w:sz w:val="22"/>
          <w:szCs w:val="22"/>
        </w:rPr>
      </w:pPr>
      <w:r w:rsidRPr="00EA56BB">
        <w:rPr>
          <w:sz w:val="22"/>
          <w:szCs w:val="22"/>
        </w:rPr>
        <w:t>6.</w:t>
      </w:r>
      <w:r w:rsidR="00817655" w:rsidRPr="00EA56BB">
        <w:rPr>
          <w:sz w:val="22"/>
          <w:szCs w:val="22"/>
        </w:rPr>
        <w:t>8</w:t>
      </w:r>
      <w:r w:rsidR="00295705" w:rsidRPr="00EA56BB">
        <w:rPr>
          <w:sz w:val="22"/>
          <w:szCs w:val="22"/>
        </w:rPr>
        <w:t xml:space="preserve"> Where the CPS Area FGM Lead considers there is not enough evidence to proceed to charge but that further evidence could be obtained, they will provide investigative advice identifying all steps and evidence that may be undertaken to provide a realistic prospect of conviction, including the completion of a detailed action plan with agreed action dates on form MG3. </w:t>
      </w:r>
    </w:p>
    <w:p w:rsidR="00CA1048" w:rsidRPr="00CA1048" w:rsidRDefault="00CA1048" w:rsidP="000D1E16">
      <w:pPr>
        <w:pStyle w:val="Default"/>
        <w:rPr>
          <w:sz w:val="22"/>
          <w:szCs w:val="22"/>
        </w:rPr>
      </w:pPr>
    </w:p>
    <w:p w:rsidR="00CA1048" w:rsidRPr="00CA1048" w:rsidRDefault="00CA1048" w:rsidP="00CA1048">
      <w:pPr>
        <w:pStyle w:val="Default"/>
        <w:rPr>
          <w:sz w:val="22"/>
          <w:szCs w:val="22"/>
        </w:rPr>
      </w:pPr>
      <w:r w:rsidRPr="00CA1048">
        <w:rPr>
          <w:sz w:val="22"/>
          <w:szCs w:val="22"/>
        </w:rPr>
        <w:t>6.9 The CPS Area FGM Lead will ensure:</w:t>
      </w:r>
    </w:p>
    <w:p w:rsidR="00CA1048" w:rsidRPr="00CA1048" w:rsidRDefault="00CA1048" w:rsidP="00CA1048">
      <w:pPr>
        <w:pStyle w:val="Default"/>
        <w:numPr>
          <w:ilvl w:val="0"/>
          <w:numId w:val="35"/>
        </w:numPr>
        <w:rPr>
          <w:sz w:val="22"/>
          <w:szCs w:val="22"/>
        </w:rPr>
      </w:pPr>
      <w:r w:rsidRPr="00CA1048">
        <w:rPr>
          <w:sz w:val="22"/>
          <w:szCs w:val="22"/>
        </w:rPr>
        <w:t xml:space="preserve">The DASH has been applied by the police, and used to inform decisions regarding bail or remand as well as to inform safeguarding plans in relation to the </w:t>
      </w:r>
      <w:r w:rsidR="007152ED">
        <w:rPr>
          <w:sz w:val="22"/>
          <w:szCs w:val="22"/>
        </w:rPr>
        <w:t>complainant</w:t>
      </w:r>
      <w:r w:rsidRPr="00CA1048">
        <w:rPr>
          <w:sz w:val="22"/>
          <w:szCs w:val="22"/>
        </w:rPr>
        <w:t xml:space="preserve">. </w:t>
      </w:r>
    </w:p>
    <w:p w:rsidR="00CA1048" w:rsidRPr="00CA1048" w:rsidRDefault="00CA1048" w:rsidP="00CA1048">
      <w:pPr>
        <w:pStyle w:val="Default"/>
        <w:numPr>
          <w:ilvl w:val="0"/>
          <w:numId w:val="35"/>
        </w:numPr>
        <w:rPr>
          <w:sz w:val="22"/>
          <w:szCs w:val="22"/>
        </w:rPr>
      </w:pPr>
      <w:r w:rsidRPr="00CA1048">
        <w:rPr>
          <w:sz w:val="22"/>
          <w:szCs w:val="22"/>
        </w:rPr>
        <w:t>The domestic abuse Joint NPCC and CPS Evidence Gathering Checklist has been completed.</w:t>
      </w:r>
    </w:p>
    <w:p w:rsidR="00CA1048" w:rsidRPr="00CA1048" w:rsidRDefault="00CA1048" w:rsidP="00CA1048">
      <w:pPr>
        <w:pStyle w:val="Default"/>
        <w:numPr>
          <w:ilvl w:val="0"/>
          <w:numId w:val="35"/>
        </w:numPr>
        <w:rPr>
          <w:sz w:val="22"/>
          <w:szCs w:val="22"/>
        </w:rPr>
      </w:pPr>
      <w:r w:rsidRPr="00CA1048">
        <w:rPr>
          <w:sz w:val="22"/>
          <w:szCs w:val="22"/>
        </w:rPr>
        <w:t xml:space="preserve">The MG3s contains a full record of the decisions taken with reasons for those decisions. </w:t>
      </w:r>
    </w:p>
    <w:p w:rsidR="00CA1048" w:rsidRPr="00CA1048" w:rsidRDefault="00CA1048" w:rsidP="00CA1048">
      <w:pPr>
        <w:pStyle w:val="Default"/>
        <w:numPr>
          <w:ilvl w:val="0"/>
          <w:numId w:val="35"/>
        </w:numPr>
        <w:rPr>
          <w:sz w:val="22"/>
          <w:szCs w:val="22"/>
        </w:rPr>
      </w:pPr>
      <w:r w:rsidRPr="00CA1048">
        <w:rPr>
          <w:sz w:val="22"/>
          <w:szCs w:val="22"/>
        </w:rPr>
        <w:t xml:space="preserve">Every MG3 contains an Action Plan (unless there is no additional or outstanding work required from the police). Dates will be agreed between the police and the CPS on the Action Plan. </w:t>
      </w:r>
    </w:p>
    <w:p w:rsidR="00CA1048" w:rsidRPr="00EA56BB" w:rsidRDefault="00CA1048" w:rsidP="000D1E16">
      <w:pPr>
        <w:pStyle w:val="Default"/>
        <w:rPr>
          <w:sz w:val="22"/>
          <w:szCs w:val="22"/>
        </w:rPr>
      </w:pPr>
    </w:p>
    <w:p w:rsidR="00F13CEA" w:rsidRPr="00EA56BB" w:rsidRDefault="00F13CEA" w:rsidP="00F13CEA">
      <w:pPr>
        <w:pStyle w:val="Default"/>
        <w:rPr>
          <w:sz w:val="22"/>
          <w:szCs w:val="22"/>
          <w:lang w:val="en-US"/>
        </w:rPr>
      </w:pPr>
      <w:r w:rsidRPr="00EA56BB">
        <w:rPr>
          <w:sz w:val="22"/>
          <w:szCs w:val="22"/>
          <w:lang w:val="en-US"/>
        </w:rPr>
        <w:t>6.1</w:t>
      </w:r>
      <w:r w:rsidR="00CA1048">
        <w:rPr>
          <w:sz w:val="22"/>
          <w:szCs w:val="22"/>
          <w:lang w:val="en-US"/>
        </w:rPr>
        <w:t>0</w:t>
      </w:r>
      <w:r w:rsidRPr="00EA56BB">
        <w:rPr>
          <w:sz w:val="22"/>
          <w:szCs w:val="22"/>
          <w:lang w:val="en-US"/>
        </w:rPr>
        <w:t xml:space="preserve"> Any decision not to prosecute an allegation of FGM or to prefer a lesser or another charge will be confirmed by the CPS </w:t>
      </w:r>
      <w:r w:rsidR="00527C09" w:rsidRPr="00EA56BB">
        <w:rPr>
          <w:sz w:val="22"/>
          <w:szCs w:val="22"/>
          <w:lang w:val="en-US"/>
        </w:rPr>
        <w:t xml:space="preserve">Area FGM </w:t>
      </w:r>
      <w:r w:rsidRPr="00EA56BB">
        <w:rPr>
          <w:sz w:val="22"/>
          <w:szCs w:val="22"/>
          <w:lang w:val="en-US"/>
        </w:rPr>
        <w:t>Lead</w:t>
      </w:r>
      <w:r w:rsidR="00527C09" w:rsidRPr="00EA56BB">
        <w:rPr>
          <w:sz w:val="22"/>
          <w:szCs w:val="22"/>
          <w:lang w:val="en-US"/>
        </w:rPr>
        <w:t>.</w:t>
      </w:r>
      <w:r w:rsidRPr="00EA56BB">
        <w:rPr>
          <w:sz w:val="22"/>
          <w:szCs w:val="22"/>
          <w:lang w:val="en-US"/>
        </w:rPr>
        <w:t xml:space="preserve"> </w:t>
      </w:r>
    </w:p>
    <w:p w:rsidR="002D1AD5" w:rsidRPr="00EA56BB" w:rsidRDefault="002D1AD5" w:rsidP="000D1E16">
      <w:pPr>
        <w:pStyle w:val="Default"/>
        <w:rPr>
          <w:sz w:val="22"/>
          <w:szCs w:val="22"/>
        </w:rPr>
      </w:pPr>
    </w:p>
    <w:p w:rsidR="008A0F38" w:rsidRPr="00EA56BB" w:rsidRDefault="008A0F38" w:rsidP="008A0F38">
      <w:pPr>
        <w:pStyle w:val="Default"/>
        <w:rPr>
          <w:sz w:val="22"/>
          <w:szCs w:val="22"/>
        </w:rPr>
      </w:pPr>
      <w:r w:rsidRPr="00EA56BB">
        <w:rPr>
          <w:sz w:val="22"/>
          <w:szCs w:val="22"/>
        </w:rPr>
        <w:t>6.1</w:t>
      </w:r>
      <w:r w:rsidR="00CA1048">
        <w:rPr>
          <w:sz w:val="22"/>
          <w:szCs w:val="22"/>
        </w:rPr>
        <w:t>1</w:t>
      </w:r>
      <w:r w:rsidRPr="00EA56BB">
        <w:rPr>
          <w:sz w:val="22"/>
          <w:szCs w:val="22"/>
        </w:rPr>
        <w:t xml:space="preserve"> The IO or disclosure officer and the CPS lead will handle unused material in accordance with the Criminal Procedure and Investigations Act (CPIA) 1996 as amended, the relevant Code of Practice, the Attorney General's guidelines on disclosure and the </w:t>
      </w:r>
      <w:hyperlink r:id="rId27" w:history="1">
        <w:r w:rsidR="00026CDB" w:rsidRPr="00EA56BB">
          <w:rPr>
            <w:rStyle w:val="Hyperlink"/>
            <w:rFonts w:cs="Arial"/>
            <w:sz w:val="22"/>
            <w:szCs w:val="22"/>
          </w:rPr>
          <w:t>Disclosure Manual</w:t>
        </w:r>
      </w:hyperlink>
      <w:r w:rsidRPr="00EA56BB">
        <w:rPr>
          <w:sz w:val="22"/>
          <w:szCs w:val="22"/>
        </w:rPr>
        <w:t>.</w:t>
      </w:r>
    </w:p>
    <w:p w:rsidR="008A0F38" w:rsidRPr="00EA56BB" w:rsidRDefault="008A0F38" w:rsidP="008A0F38">
      <w:pPr>
        <w:widowControl w:val="0"/>
        <w:autoSpaceDE w:val="0"/>
        <w:autoSpaceDN w:val="0"/>
        <w:adjustRightInd w:val="0"/>
        <w:jc w:val="both"/>
        <w:rPr>
          <w:rFonts w:ascii="Arial" w:hAnsi="Arial" w:cs="Arial"/>
          <w:color w:val="000000"/>
        </w:rPr>
      </w:pPr>
    </w:p>
    <w:p w:rsidR="008A0F38" w:rsidRPr="00EA56BB" w:rsidRDefault="008A0F38" w:rsidP="008A0F38">
      <w:pPr>
        <w:widowControl w:val="0"/>
        <w:autoSpaceDE w:val="0"/>
        <w:autoSpaceDN w:val="0"/>
        <w:adjustRightInd w:val="0"/>
        <w:jc w:val="both"/>
        <w:rPr>
          <w:rFonts w:ascii="Arial" w:hAnsi="Arial" w:cs="Arial"/>
        </w:rPr>
      </w:pPr>
      <w:r w:rsidRPr="00EA56BB">
        <w:rPr>
          <w:rFonts w:ascii="Arial" w:hAnsi="Arial" w:cs="Arial"/>
          <w:color w:val="000000"/>
        </w:rPr>
        <w:t>6.1</w:t>
      </w:r>
      <w:r w:rsidR="00817655" w:rsidRPr="00EA56BB">
        <w:rPr>
          <w:rFonts w:ascii="Arial" w:hAnsi="Arial" w:cs="Arial"/>
          <w:color w:val="000000"/>
        </w:rPr>
        <w:t>3</w:t>
      </w:r>
      <w:r w:rsidRPr="00EA56BB">
        <w:rPr>
          <w:rFonts w:ascii="Arial" w:hAnsi="Arial" w:cs="Arial"/>
          <w:color w:val="000000"/>
        </w:rPr>
        <w:t xml:space="preserve"> </w:t>
      </w:r>
      <w:r w:rsidRPr="00EA56BB">
        <w:rPr>
          <w:rFonts w:ascii="Arial" w:hAnsi="Arial" w:cs="Arial"/>
        </w:rPr>
        <w:t>The Police will ensure that the IO or disclosure officer is adequately trained on CPIA procedure.</w:t>
      </w:r>
    </w:p>
    <w:p w:rsidR="008A0F38" w:rsidRPr="00EA56BB" w:rsidRDefault="008A0F38" w:rsidP="008A0F38">
      <w:pPr>
        <w:widowControl w:val="0"/>
        <w:autoSpaceDE w:val="0"/>
        <w:autoSpaceDN w:val="0"/>
        <w:adjustRightInd w:val="0"/>
        <w:jc w:val="both"/>
        <w:rPr>
          <w:rFonts w:ascii="Arial" w:hAnsi="Arial" w:cs="Arial"/>
        </w:rPr>
      </w:pPr>
    </w:p>
    <w:p w:rsidR="008A0F38" w:rsidRPr="00EA56BB" w:rsidRDefault="008A0F38" w:rsidP="008A0F38">
      <w:pPr>
        <w:widowControl w:val="0"/>
        <w:autoSpaceDE w:val="0"/>
        <w:autoSpaceDN w:val="0"/>
        <w:adjustRightInd w:val="0"/>
        <w:spacing w:after="240"/>
        <w:jc w:val="both"/>
        <w:rPr>
          <w:rFonts w:ascii="Arial" w:hAnsi="Arial" w:cs="Arial"/>
        </w:rPr>
      </w:pPr>
      <w:r w:rsidRPr="00EA56BB">
        <w:rPr>
          <w:rFonts w:ascii="Arial" w:hAnsi="Arial" w:cs="Arial"/>
        </w:rPr>
        <w:t>6.1</w:t>
      </w:r>
      <w:r w:rsidR="00817655" w:rsidRPr="00EA56BB">
        <w:rPr>
          <w:rFonts w:ascii="Arial" w:hAnsi="Arial" w:cs="Arial"/>
        </w:rPr>
        <w:t>4</w:t>
      </w:r>
      <w:r w:rsidRPr="00EA56BB">
        <w:rPr>
          <w:rFonts w:ascii="Arial" w:hAnsi="Arial" w:cs="Arial"/>
        </w:rPr>
        <w:t xml:space="preserve"> The IO or disclosure officer and the CPS Area FGM Lead will be proactive in identifying relevant third party material at the pre-charge stage. Access to third party material will be sought prior to the decision to charge wherever possible.</w:t>
      </w:r>
    </w:p>
    <w:p w:rsidR="008A0F38" w:rsidRPr="00EA56BB" w:rsidRDefault="008A0F38" w:rsidP="008A0F38">
      <w:pPr>
        <w:widowControl w:val="0"/>
        <w:autoSpaceDE w:val="0"/>
        <w:autoSpaceDN w:val="0"/>
        <w:adjustRightInd w:val="0"/>
        <w:spacing w:after="240"/>
        <w:jc w:val="both"/>
        <w:rPr>
          <w:rFonts w:ascii="Arial" w:hAnsi="Arial" w:cs="Arial"/>
        </w:rPr>
      </w:pPr>
      <w:r w:rsidRPr="00EA56BB">
        <w:rPr>
          <w:rFonts w:ascii="Arial" w:hAnsi="Arial" w:cs="Arial"/>
        </w:rPr>
        <w:t>6.1</w:t>
      </w:r>
      <w:r w:rsidR="00817655" w:rsidRPr="00EA56BB">
        <w:rPr>
          <w:rFonts w:ascii="Arial" w:hAnsi="Arial" w:cs="Arial"/>
        </w:rPr>
        <w:t>5</w:t>
      </w:r>
      <w:r w:rsidRPr="00EA56BB">
        <w:rPr>
          <w:rFonts w:ascii="Arial" w:hAnsi="Arial" w:cs="Arial"/>
        </w:rPr>
        <w:t xml:space="preserve"> In respect of cases involving child </w:t>
      </w:r>
      <w:r w:rsidR="007152ED">
        <w:rPr>
          <w:rFonts w:ascii="Arial" w:hAnsi="Arial" w:cs="Arial"/>
        </w:rPr>
        <w:t>complainant</w:t>
      </w:r>
      <w:r w:rsidRPr="00EA56BB">
        <w:rPr>
          <w:rFonts w:ascii="Arial" w:hAnsi="Arial" w:cs="Arial"/>
        </w:rPr>
        <w:t>s access to and exchange of third party material held by a local authority will be dealt with in accordance with local protocols de</w:t>
      </w:r>
      <w:r w:rsidR="00760A77">
        <w:rPr>
          <w:rFonts w:ascii="Arial" w:hAnsi="Arial" w:cs="Arial"/>
        </w:rPr>
        <w:t>veloped and agreed between the P</w:t>
      </w:r>
      <w:r w:rsidRPr="00EA56BB">
        <w:rPr>
          <w:rFonts w:ascii="Arial" w:hAnsi="Arial" w:cs="Arial"/>
        </w:rPr>
        <w:t>olice and CPS and the Local Authorities, as soon as reasonably practicable.</w:t>
      </w:r>
    </w:p>
    <w:p w:rsidR="008A0F38" w:rsidRPr="00EA56BB" w:rsidRDefault="008A0F38" w:rsidP="008A0F38">
      <w:pPr>
        <w:widowControl w:val="0"/>
        <w:autoSpaceDE w:val="0"/>
        <w:autoSpaceDN w:val="0"/>
        <w:adjustRightInd w:val="0"/>
        <w:spacing w:after="240"/>
        <w:jc w:val="both"/>
        <w:rPr>
          <w:rFonts w:ascii="Arial" w:hAnsi="Arial" w:cs="Arial"/>
        </w:rPr>
      </w:pPr>
      <w:r w:rsidRPr="00EA56BB">
        <w:rPr>
          <w:rFonts w:ascii="Arial" w:hAnsi="Arial" w:cs="Arial"/>
        </w:rPr>
        <w:t>6.1</w:t>
      </w:r>
      <w:r w:rsidR="00817655" w:rsidRPr="00EA56BB">
        <w:rPr>
          <w:rFonts w:ascii="Arial" w:hAnsi="Arial" w:cs="Arial"/>
        </w:rPr>
        <w:t>6</w:t>
      </w:r>
      <w:r w:rsidRPr="00EA56BB">
        <w:rPr>
          <w:rFonts w:ascii="Arial" w:hAnsi="Arial" w:cs="Arial"/>
        </w:rPr>
        <w:t xml:space="preserve"> The CPS Area FGM Lead will make an application to the Court for a witness summons in respect of third party material where appropriate.</w:t>
      </w:r>
    </w:p>
    <w:p w:rsidR="005A2777" w:rsidRPr="00EA56BB" w:rsidRDefault="00D12BF3" w:rsidP="005A2777">
      <w:pPr>
        <w:rPr>
          <w:rFonts w:ascii="Arial" w:hAnsi="Arial" w:cs="Arial"/>
        </w:rPr>
      </w:pPr>
      <w:bookmarkStart w:id="8" w:name="Section7"/>
      <w:r w:rsidRPr="00EA56BB">
        <w:rPr>
          <w:rFonts w:ascii="Arial" w:hAnsi="Arial" w:cs="Arial"/>
          <w:b/>
          <w:bCs/>
        </w:rPr>
        <w:t>7</w:t>
      </w:r>
      <w:r w:rsidR="005A2777" w:rsidRPr="00EA56BB">
        <w:rPr>
          <w:rFonts w:ascii="Arial" w:hAnsi="Arial" w:cs="Arial"/>
          <w:b/>
          <w:bCs/>
        </w:rPr>
        <w:t xml:space="preserve">. SECTION </w:t>
      </w:r>
      <w:r w:rsidRPr="00EA56BB">
        <w:rPr>
          <w:rFonts w:ascii="Arial" w:hAnsi="Arial" w:cs="Arial"/>
          <w:b/>
          <w:bCs/>
        </w:rPr>
        <w:t>7</w:t>
      </w:r>
      <w:r w:rsidR="005A2777" w:rsidRPr="00EA56BB">
        <w:rPr>
          <w:rFonts w:ascii="Arial" w:hAnsi="Arial" w:cs="Arial"/>
          <w:b/>
          <w:bCs/>
        </w:rPr>
        <w:t xml:space="preserve"> </w:t>
      </w:r>
      <w:bookmarkEnd w:id="8"/>
      <w:r w:rsidR="005A2777" w:rsidRPr="00EA56BB">
        <w:rPr>
          <w:rFonts w:ascii="Arial" w:hAnsi="Arial" w:cs="Arial"/>
          <w:b/>
          <w:bCs/>
        </w:rPr>
        <w:t xml:space="preserve">– PROTECTION ORDERS </w:t>
      </w:r>
    </w:p>
    <w:p w:rsidR="005A2777" w:rsidRPr="00EA56BB" w:rsidRDefault="005A2777" w:rsidP="005A2777">
      <w:pPr>
        <w:rPr>
          <w:rFonts w:ascii="Arial" w:hAnsi="Arial" w:cs="Arial"/>
          <w:highlight w:val="yellow"/>
        </w:rPr>
      </w:pPr>
    </w:p>
    <w:p w:rsidR="00682A7E" w:rsidRPr="00EA56BB" w:rsidRDefault="00D12BF3" w:rsidP="005A2777">
      <w:pPr>
        <w:pStyle w:val="Default"/>
        <w:rPr>
          <w:sz w:val="22"/>
          <w:szCs w:val="22"/>
        </w:rPr>
      </w:pPr>
      <w:r w:rsidRPr="00EA56BB">
        <w:rPr>
          <w:sz w:val="22"/>
          <w:szCs w:val="22"/>
        </w:rPr>
        <w:t>7</w:t>
      </w:r>
      <w:r w:rsidR="005A2777" w:rsidRPr="00EA56BB">
        <w:rPr>
          <w:sz w:val="22"/>
          <w:szCs w:val="22"/>
        </w:rPr>
        <w:t>.</w:t>
      </w:r>
      <w:r w:rsidR="00682A7E" w:rsidRPr="00EA56BB">
        <w:rPr>
          <w:sz w:val="22"/>
          <w:szCs w:val="22"/>
        </w:rPr>
        <w:t>1</w:t>
      </w:r>
      <w:r w:rsidR="005A2777" w:rsidRPr="00EA56BB">
        <w:rPr>
          <w:sz w:val="22"/>
          <w:szCs w:val="22"/>
        </w:rPr>
        <w:t xml:space="preserve"> </w:t>
      </w:r>
      <w:r w:rsidR="00682A7E" w:rsidRPr="00EA56BB">
        <w:rPr>
          <w:sz w:val="22"/>
          <w:szCs w:val="22"/>
        </w:rPr>
        <w:t>Where a girl or woman may be at risk of FGM, legal interventions should be considered, including police protection, an Emergency Protection Order (EPO</w:t>
      </w:r>
      <w:r w:rsidR="00602973" w:rsidRPr="00EA56BB">
        <w:rPr>
          <w:sz w:val="22"/>
          <w:szCs w:val="22"/>
        </w:rPr>
        <w:t>) an FGM PO and/or other appropriate orders or applications. Relevant orders will be determined by what is appropriate in each case; sometimes a combination of orders might be needed, for example:</w:t>
      </w:r>
    </w:p>
    <w:p w:rsidR="000577BA" w:rsidRPr="00EA56BB" w:rsidRDefault="000577BA" w:rsidP="000577BA">
      <w:pPr>
        <w:pStyle w:val="Default"/>
        <w:numPr>
          <w:ilvl w:val="0"/>
          <w:numId w:val="46"/>
        </w:numPr>
        <w:rPr>
          <w:sz w:val="22"/>
          <w:szCs w:val="22"/>
        </w:rPr>
      </w:pPr>
      <w:r w:rsidRPr="00EA56BB">
        <w:rPr>
          <w:sz w:val="22"/>
          <w:szCs w:val="22"/>
        </w:rPr>
        <w:t xml:space="preserve">EPO which gives local authority parental responsibility for </w:t>
      </w:r>
      <w:r w:rsidR="00453137" w:rsidRPr="00EA56BB">
        <w:rPr>
          <w:sz w:val="22"/>
          <w:szCs w:val="22"/>
        </w:rPr>
        <w:t xml:space="preserve">the </w:t>
      </w:r>
      <w:r w:rsidRPr="00EA56BB">
        <w:rPr>
          <w:sz w:val="22"/>
          <w:szCs w:val="22"/>
        </w:rPr>
        <w:t>child;</w:t>
      </w:r>
    </w:p>
    <w:p w:rsidR="000577BA" w:rsidRPr="00EA56BB" w:rsidRDefault="000577BA" w:rsidP="000577BA">
      <w:pPr>
        <w:pStyle w:val="Default"/>
        <w:numPr>
          <w:ilvl w:val="0"/>
          <w:numId w:val="46"/>
        </w:numPr>
        <w:rPr>
          <w:sz w:val="22"/>
          <w:szCs w:val="22"/>
        </w:rPr>
      </w:pPr>
      <w:r w:rsidRPr="00EA56BB">
        <w:rPr>
          <w:sz w:val="22"/>
          <w:szCs w:val="22"/>
        </w:rPr>
        <w:t xml:space="preserve">Prohibited Steps Order which prevents the family from removing a child from the country; or </w:t>
      </w:r>
    </w:p>
    <w:p w:rsidR="000577BA" w:rsidRPr="00EA56BB" w:rsidRDefault="000577BA" w:rsidP="000577BA">
      <w:pPr>
        <w:pStyle w:val="Default"/>
        <w:numPr>
          <w:ilvl w:val="0"/>
          <w:numId w:val="46"/>
        </w:numPr>
        <w:rPr>
          <w:sz w:val="22"/>
          <w:szCs w:val="22"/>
        </w:rPr>
      </w:pPr>
      <w:r w:rsidRPr="00EA56BB">
        <w:rPr>
          <w:sz w:val="22"/>
          <w:szCs w:val="22"/>
        </w:rPr>
        <w:t>Police Protection Order which enables the police to remove a child to a place of safety for up to 72 hours.</w:t>
      </w:r>
    </w:p>
    <w:p w:rsidR="00602973" w:rsidRPr="00EA56BB" w:rsidRDefault="00602973" w:rsidP="005A2777">
      <w:pPr>
        <w:pStyle w:val="Default"/>
        <w:rPr>
          <w:sz w:val="22"/>
          <w:szCs w:val="22"/>
        </w:rPr>
      </w:pPr>
    </w:p>
    <w:p w:rsidR="00D12BF3" w:rsidRPr="00EA56BB" w:rsidRDefault="00682A7E" w:rsidP="005A2777">
      <w:pPr>
        <w:pStyle w:val="Default"/>
        <w:rPr>
          <w:sz w:val="22"/>
          <w:szCs w:val="22"/>
          <w:lang w:eastAsia="en-GB"/>
        </w:rPr>
      </w:pPr>
      <w:r w:rsidRPr="00EA56BB">
        <w:rPr>
          <w:sz w:val="22"/>
          <w:szCs w:val="22"/>
        </w:rPr>
        <w:t xml:space="preserve">7.2 </w:t>
      </w:r>
      <w:r w:rsidR="005A2777" w:rsidRPr="00EA56BB">
        <w:rPr>
          <w:sz w:val="22"/>
          <w:szCs w:val="22"/>
        </w:rPr>
        <w:t>A F</w:t>
      </w:r>
      <w:r w:rsidR="00D12BF3" w:rsidRPr="00EA56BB">
        <w:rPr>
          <w:sz w:val="22"/>
          <w:szCs w:val="22"/>
        </w:rPr>
        <w:t>G</w:t>
      </w:r>
      <w:r w:rsidR="005A2777" w:rsidRPr="00EA56BB">
        <w:rPr>
          <w:sz w:val="22"/>
          <w:szCs w:val="22"/>
        </w:rPr>
        <w:t xml:space="preserve">MPO </w:t>
      </w:r>
      <w:r w:rsidR="00854B81" w:rsidRPr="00EA56BB">
        <w:rPr>
          <w:sz w:val="22"/>
          <w:szCs w:val="22"/>
          <w:lang w:eastAsia="en-GB"/>
        </w:rPr>
        <w:t>is a civil order</w:t>
      </w:r>
      <w:r w:rsidR="005A2777" w:rsidRPr="00EA56BB">
        <w:rPr>
          <w:sz w:val="22"/>
          <w:szCs w:val="22"/>
          <w:lang w:eastAsia="en-GB"/>
        </w:rPr>
        <w:t xml:space="preserve"> issued under the</w:t>
      </w:r>
      <w:r w:rsidR="00D12BF3" w:rsidRPr="00EA56BB">
        <w:rPr>
          <w:rFonts w:eastAsia="Times New Roman"/>
          <w:color w:val="auto"/>
          <w:sz w:val="22"/>
          <w:szCs w:val="22"/>
          <w:lang w:eastAsia="en-GB"/>
        </w:rPr>
        <w:t xml:space="preserve"> </w:t>
      </w:r>
      <w:r w:rsidR="00171F93">
        <w:rPr>
          <w:rFonts w:eastAsia="Times New Roman"/>
          <w:color w:val="auto"/>
          <w:sz w:val="22"/>
          <w:szCs w:val="22"/>
          <w:lang w:eastAsia="en-GB"/>
        </w:rPr>
        <w:t>2003 Act</w:t>
      </w:r>
      <w:r w:rsidR="00854B81" w:rsidRPr="00EA56BB">
        <w:rPr>
          <w:sz w:val="22"/>
          <w:szCs w:val="22"/>
          <w:lang w:eastAsia="en-GB"/>
        </w:rPr>
        <w:t xml:space="preserve"> and can be made with the purpose of protecting a girl</w:t>
      </w:r>
      <w:r w:rsidR="00854B81" w:rsidRPr="00EA56BB">
        <w:rPr>
          <w:rStyle w:val="FootnoteReference"/>
          <w:rFonts w:cs="Arial"/>
          <w:sz w:val="22"/>
          <w:szCs w:val="22"/>
          <w:lang w:eastAsia="en-GB"/>
        </w:rPr>
        <w:footnoteReference w:id="9"/>
      </w:r>
      <w:r w:rsidR="000E1036" w:rsidRPr="00EA56BB">
        <w:rPr>
          <w:sz w:val="22"/>
          <w:szCs w:val="22"/>
          <w:lang w:eastAsia="en-GB"/>
        </w:rPr>
        <w:t xml:space="preserve"> against the commission of an FGM offence – protecting a girl at risk – or protecting a girl against whom an FGM offence has been committed.</w:t>
      </w:r>
      <w:r w:rsidR="005A2777" w:rsidRPr="00EA56BB">
        <w:rPr>
          <w:sz w:val="22"/>
          <w:szCs w:val="22"/>
          <w:lang w:eastAsia="en-GB"/>
        </w:rPr>
        <w:t xml:space="preserve"> </w:t>
      </w:r>
      <w:r w:rsidR="00D12BF3" w:rsidRPr="00EA56BB">
        <w:rPr>
          <w:sz w:val="22"/>
          <w:szCs w:val="22"/>
          <w:lang w:eastAsia="en-GB"/>
        </w:rPr>
        <w:t>An application for an FGMPO can be made to the family court or High Court.</w:t>
      </w:r>
      <w:r w:rsidR="0011136F" w:rsidRPr="00EA56BB">
        <w:rPr>
          <w:sz w:val="22"/>
          <w:szCs w:val="22"/>
          <w:lang w:eastAsia="en-GB"/>
        </w:rPr>
        <w:t xml:space="preserve"> </w:t>
      </w:r>
      <w:r w:rsidR="00D12BF3" w:rsidRPr="00EA56BB">
        <w:rPr>
          <w:sz w:val="22"/>
          <w:szCs w:val="22"/>
          <w:lang w:eastAsia="en-GB"/>
        </w:rPr>
        <w:t xml:space="preserve"> </w:t>
      </w:r>
      <w:r w:rsidR="0011136F" w:rsidRPr="00EA56BB">
        <w:rPr>
          <w:sz w:val="22"/>
          <w:szCs w:val="22"/>
          <w:lang w:eastAsia="en-GB"/>
        </w:rPr>
        <w:t xml:space="preserve">In deciding whether to make an order a court must have regard to all the circumstances of a case including the need to secure the health, safety and well-being of the potential or actual </w:t>
      </w:r>
      <w:r w:rsidR="007152ED">
        <w:rPr>
          <w:sz w:val="22"/>
          <w:szCs w:val="22"/>
          <w:lang w:eastAsia="en-GB"/>
        </w:rPr>
        <w:t>complainant</w:t>
      </w:r>
      <w:r w:rsidR="0011136F" w:rsidRPr="00EA56BB">
        <w:rPr>
          <w:sz w:val="22"/>
          <w:szCs w:val="22"/>
          <w:lang w:eastAsia="en-GB"/>
        </w:rPr>
        <w:t>.</w:t>
      </w:r>
      <w:r w:rsidR="00250555" w:rsidRPr="00EA56BB">
        <w:rPr>
          <w:sz w:val="22"/>
          <w:szCs w:val="22"/>
          <w:lang w:eastAsia="en-GB"/>
        </w:rPr>
        <w:t xml:space="preserve"> The terms of an FGMPO may relate to conduct inside and/or outside of England and Wales (or Northern Ireland). </w:t>
      </w:r>
      <w:r w:rsidR="00D12BF3" w:rsidRPr="00EA56BB">
        <w:rPr>
          <w:sz w:val="22"/>
          <w:szCs w:val="22"/>
          <w:lang w:eastAsia="en-GB"/>
        </w:rPr>
        <w:t>The orders may contain prohibitions, restrictions or requirements as the court considers appropriate</w:t>
      </w:r>
      <w:r w:rsidR="0011136F" w:rsidRPr="00EA56BB">
        <w:rPr>
          <w:color w:val="auto"/>
          <w:sz w:val="22"/>
          <w:szCs w:val="22"/>
        </w:rPr>
        <w:t xml:space="preserve"> </w:t>
      </w:r>
      <w:r w:rsidR="0011136F" w:rsidRPr="00EA56BB">
        <w:rPr>
          <w:sz w:val="22"/>
          <w:szCs w:val="22"/>
          <w:lang w:eastAsia="en-GB"/>
        </w:rPr>
        <w:t>to stop or change the behaviour or conduct of those who would seek to subject a girl to FGM or have already arranged for, or committed, FGM</w:t>
      </w:r>
      <w:r w:rsidR="00AB1CEC" w:rsidRPr="00EA56BB">
        <w:rPr>
          <w:sz w:val="22"/>
          <w:szCs w:val="22"/>
          <w:lang w:eastAsia="en-GB"/>
        </w:rPr>
        <w:t xml:space="preserve">. </w:t>
      </w:r>
      <w:r w:rsidR="00D12BF3" w:rsidRPr="00EA56BB">
        <w:rPr>
          <w:sz w:val="22"/>
          <w:szCs w:val="22"/>
          <w:lang w:eastAsia="en-GB"/>
        </w:rPr>
        <w:t>For example, the court may:</w:t>
      </w:r>
    </w:p>
    <w:p w:rsidR="002A3DE1" w:rsidRPr="00EA56BB" w:rsidRDefault="002A3DE1" w:rsidP="002A3DE1">
      <w:pPr>
        <w:pStyle w:val="Default"/>
        <w:numPr>
          <w:ilvl w:val="0"/>
          <w:numId w:val="45"/>
        </w:numPr>
        <w:rPr>
          <w:sz w:val="22"/>
          <w:szCs w:val="22"/>
          <w:lang w:eastAsia="en-GB"/>
        </w:rPr>
      </w:pPr>
      <w:r w:rsidRPr="00EA56BB">
        <w:rPr>
          <w:sz w:val="22"/>
          <w:szCs w:val="22"/>
          <w:lang w:eastAsia="en-GB"/>
        </w:rPr>
        <w:t>order the surrender of passports or any other travel documents, including the docume</w:t>
      </w:r>
      <w:r w:rsidR="00AB34EC" w:rsidRPr="00EA56BB">
        <w:rPr>
          <w:sz w:val="22"/>
          <w:szCs w:val="22"/>
          <w:lang w:eastAsia="en-GB"/>
        </w:rPr>
        <w:t>nts of the girl to be protected;</w:t>
      </w:r>
    </w:p>
    <w:p w:rsidR="00AB34EC" w:rsidRPr="00EA56BB" w:rsidRDefault="00AB34EC" w:rsidP="002A3DE1">
      <w:pPr>
        <w:pStyle w:val="Default"/>
        <w:numPr>
          <w:ilvl w:val="0"/>
          <w:numId w:val="45"/>
        </w:numPr>
        <w:rPr>
          <w:sz w:val="22"/>
          <w:szCs w:val="22"/>
          <w:lang w:eastAsia="en-GB"/>
        </w:rPr>
      </w:pPr>
      <w:r w:rsidRPr="00EA56BB">
        <w:rPr>
          <w:iCs/>
          <w:sz w:val="22"/>
          <w:szCs w:val="22"/>
          <w:lang w:eastAsia="en-GB"/>
        </w:rPr>
        <w:t>order the return of a girl who is currently abroad;</w:t>
      </w:r>
    </w:p>
    <w:p w:rsidR="002A3DE1" w:rsidRPr="00EA56BB" w:rsidRDefault="002A3DE1" w:rsidP="002A3DE1">
      <w:pPr>
        <w:pStyle w:val="Default"/>
        <w:numPr>
          <w:ilvl w:val="0"/>
          <w:numId w:val="45"/>
        </w:numPr>
        <w:rPr>
          <w:sz w:val="22"/>
          <w:szCs w:val="22"/>
          <w:lang w:eastAsia="en-GB"/>
        </w:rPr>
      </w:pPr>
      <w:r w:rsidRPr="00EA56BB">
        <w:rPr>
          <w:sz w:val="22"/>
          <w:szCs w:val="22"/>
          <w:lang w:eastAsia="en-GB"/>
        </w:rPr>
        <w:t>prohibit specified persons from entering into any arrangements in the UK or overseas for FGM to be performed on the person to be protected;</w:t>
      </w:r>
    </w:p>
    <w:p w:rsidR="002A3DE1" w:rsidRPr="00EA56BB" w:rsidRDefault="002A3DE1" w:rsidP="002A3DE1">
      <w:pPr>
        <w:pStyle w:val="Default"/>
        <w:numPr>
          <w:ilvl w:val="0"/>
          <w:numId w:val="45"/>
        </w:numPr>
        <w:rPr>
          <w:sz w:val="22"/>
          <w:szCs w:val="22"/>
          <w:lang w:eastAsia="en-GB"/>
        </w:rPr>
      </w:pPr>
      <w:r w:rsidRPr="00EA56BB">
        <w:rPr>
          <w:sz w:val="22"/>
          <w:szCs w:val="22"/>
          <w:lang w:eastAsia="en-GB"/>
        </w:rPr>
        <w:t xml:space="preserve">include terms which relate to the conduct of the individuals named in the order within or outside of England and Wales; and </w:t>
      </w:r>
    </w:p>
    <w:p w:rsidR="002A3DE1" w:rsidRPr="00EA56BB" w:rsidRDefault="002A3DE1" w:rsidP="002A3DE1">
      <w:pPr>
        <w:pStyle w:val="Default"/>
        <w:numPr>
          <w:ilvl w:val="0"/>
          <w:numId w:val="45"/>
        </w:numPr>
        <w:rPr>
          <w:sz w:val="22"/>
          <w:szCs w:val="22"/>
          <w:lang w:eastAsia="en-GB"/>
        </w:rPr>
      </w:pPr>
      <w:proofErr w:type="gramStart"/>
      <w:r w:rsidRPr="00EA56BB">
        <w:rPr>
          <w:sz w:val="22"/>
          <w:szCs w:val="22"/>
          <w:lang w:eastAsia="en-GB"/>
        </w:rPr>
        <w:t>include</w:t>
      </w:r>
      <w:proofErr w:type="gramEnd"/>
      <w:r w:rsidRPr="00EA56BB">
        <w:rPr>
          <w:sz w:val="22"/>
          <w:szCs w:val="22"/>
          <w:lang w:eastAsia="en-GB"/>
        </w:rPr>
        <w:t xml:space="preserve"> terms which cover individuals who are, or may become involved in other respects who may commit or attempt to commit FGM against a girl. </w:t>
      </w:r>
    </w:p>
    <w:p w:rsidR="00D12BF3" w:rsidRPr="00EA56BB" w:rsidRDefault="00D12BF3" w:rsidP="005A2777">
      <w:pPr>
        <w:pStyle w:val="Default"/>
        <w:rPr>
          <w:sz w:val="22"/>
          <w:szCs w:val="22"/>
          <w:lang w:eastAsia="en-GB"/>
        </w:rPr>
      </w:pPr>
    </w:p>
    <w:p w:rsidR="00AE7D6F" w:rsidRPr="00EA56BB" w:rsidRDefault="000577BA" w:rsidP="005A2777">
      <w:pPr>
        <w:pStyle w:val="Default"/>
        <w:rPr>
          <w:sz w:val="22"/>
          <w:szCs w:val="22"/>
          <w:lang w:eastAsia="en-GB"/>
        </w:rPr>
      </w:pPr>
      <w:r w:rsidRPr="00EA56BB">
        <w:rPr>
          <w:sz w:val="22"/>
          <w:szCs w:val="22"/>
          <w:lang w:eastAsia="en-GB"/>
        </w:rPr>
        <w:t>7.3</w:t>
      </w:r>
      <w:r w:rsidR="005A2777" w:rsidRPr="00EA56BB">
        <w:rPr>
          <w:sz w:val="22"/>
          <w:szCs w:val="22"/>
          <w:lang w:eastAsia="en-GB"/>
        </w:rPr>
        <w:t xml:space="preserve"> </w:t>
      </w:r>
      <w:r w:rsidR="00AE7D6F" w:rsidRPr="00EA56BB">
        <w:rPr>
          <w:sz w:val="22"/>
          <w:szCs w:val="22"/>
          <w:lang w:eastAsia="en-GB"/>
        </w:rPr>
        <w:t>An application for an FGMPO</w:t>
      </w:r>
      <w:r w:rsidR="005D267C" w:rsidRPr="00EA56BB">
        <w:rPr>
          <w:rStyle w:val="FootnoteReference"/>
          <w:rFonts w:cs="Arial"/>
          <w:sz w:val="22"/>
          <w:szCs w:val="22"/>
          <w:lang w:eastAsia="en-GB"/>
        </w:rPr>
        <w:footnoteReference w:id="10"/>
      </w:r>
      <w:r w:rsidR="00AE7D6F" w:rsidRPr="00EA56BB">
        <w:rPr>
          <w:sz w:val="22"/>
          <w:szCs w:val="22"/>
          <w:lang w:eastAsia="en-GB"/>
        </w:rPr>
        <w:t xml:space="preserve"> can be made to the High Court or the family court by the person to be protected (the </w:t>
      </w:r>
      <w:r w:rsidR="007152ED">
        <w:rPr>
          <w:sz w:val="22"/>
          <w:szCs w:val="22"/>
          <w:lang w:eastAsia="en-GB"/>
        </w:rPr>
        <w:t>complainant</w:t>
      </w:r>
      <w:r w:rsidR="00AE7D6F" w:rsidRPr="00EA56BB">
        <w:rPr>
          <w:sz w:val="22"/>
          <w:szCs w:val="22"/>
          <w:lang w:eastAsia="en-GB"/>
        </w:rPr>
        <w:t xml:space="preserve">), or a “relevant third party” (a person or body specified, or in a class specified by the Lord Chancellor for this purpose) without the leave of the court. Local authorities have been specified as a “relevant third party”. An application can also be made by ‘any other person’ with the leave of the court. In deciding whether to grant leave, the court must have regard to all the circumstances, including the applicant’s connection with, and knowledge of, the circumstances of the girl. </w:t>
      </w:r>
    </w:p>
    <w:p w:rsidR="00AE7D6F" w:rsidRPr="00EA56BB" w:rsidRDefault="00AE7D6F" w:rsidP="005A2777">
      <w:pPr>
        <w:pStyle w:val="Default"/>
        <w:rPr>
          <w:sz w:val="22"/>
          <w:szCs w:val="22"/>
          <w:lang w:eastAsia="en-GB"/>
        </w:rPr>
      </w:pPr>
    </w:p>
    <w:p w:rsidR="005A2777" w:rsidRPr="00EA56BB" w:rsidRDefault="00AE7D6F" w:rsidP="005A2777">
      <w:pPr>
        <w:pStyle w:val="Default"/>
        <w:rPr>
          <w:sz w:val="22"/>
          <w:szCs w:val="22"/>
          <w:lang w:eastAsia="en-GB"/>
        </w:rPr>
      </w:pPr>
      <w:r w:rsidRPr="00EA56BB">
        <w:rPr>
          <w:sz w:val="22"/>
          <w:szCs w:val="22"/>
          <w:lang w:eastAsia="en-GB"/>
        </w:rPr>
        <w:t xml:space="preserve">7.4 A court can also make an FGMPO without application being made to it in certain family proceedings. In addition, a criminal court can also make an FGMPO, without application, in criminal proceedings for a genital mutilation offence where the person who would be a respondent to any proceedings for an FGMPO is a </w:t>
      </w:r>
      <w:r w:rsidR="008C3332">
        <w:rPr>
          <w:sz w:val="22"/>
          <w:szCs w:val="22"/>
          <w:lang w:eastAsia="en-GB"/>
        </w:rPr>
        <w:t>suspect</w:t>
      </w:r>
      <w:r w:rsidRPr="00EA56BB">
        <w:rPr>
          <w:sz w:val="22"/>
          <w:szCs w:val="22"/>
          <w:lang w:eastAsia="en-GB"/>
        </w:rPr>
        <w:t xml:space="preserve"> in the criminal proceedings. An FGMPO can be made in such criminal proceedings to protect a girl at risk, whether or not they are the </w:t>
      </w:r>
      <w:r w:rsidR="007152ED">
        <w:rPr>
          <w:sz w:val="22"/>
          <w:szCs w:val="22"/>
          <w:lang w:eastAsia="en-GB"/>
        </w:rPr>
        <w:t>complainant</w:t>
      </w:r>
      <w:r w:rsidRPr="00EA56BB">
        <w:rPr>
          <w:sz w:val="22"/>
          <w:szCs w:val="22"/>
          <w:lang w:eastAsia="en-GB"/>
        </w:rPr>
        <w:t xml:space="preserve"> of the offence in relation to the criminal proceedings. For example, the younger sister of the </w:t>
      </w:r>
      <w:r w:rsidR="007152ED">
        <w:rPr>
          <w:sz w:val="22"/>
          <w:szCs w:val="22"/>
          <w:lang w:eastAsia="en-GB"/>
        </w:rPr>
        <w:t>complainant</w:t>
      </w:r>
      <w:r w:rsidRPr="00EA56BB">
        <w:rPr>
          <w:sz w:val="22"/>
          <w:szCs w:val="22"/>
          <w:lang w:eastAsia="en-GB"/>
        </w:rPr>
        <w:t xml:space="preserve"> of a genital mutilation offence could also be protected by the court in criminal proceedings.</w:t>
      </w:r>
    </w:p>
    <w:p w:rsidR="005A2777" w:rsidRPr="00EA56BB" w:rsidRDefault="00AE7D6F" w:rsidP="00D378BE">
      <w:pPr>
        <w:spacing w:before="100" w:beforeAutospacing="1" w:after="100" w:afterAutospacing="1"/>
        <w:rPr>
          <w:rFonts w:ascii="Arial" w:hAnsi="Arial" w:cs="Arial"/>
          <w:lang w:eastAsia="en-GB"/>
        </w:rPr>
      </w:pPr>
      <w:r w:rsidRPr="00EA56BB">
        <w:rPr>
          <w:rFonts w:ascii="Arial" w:hAnsi="Arial" w:cs="Arial"/>
          <w:lang w:eastAsia="en-GB"/>
        </w:rPr>
        <w:t>7.5</w:t>
      </w:r>
      <w:r w:rsidR="005A2777" w:rsidRPr="00EA56BB">
        <w:rPr>
          <w:rFonts w:ascii="Arial" w:hAnsi="Arial" w:cs="Arial"/>
          <w:lang w:eastAsia="en-GB"/>
        </w:rPr>
        <w:t xml:space="preserve"> </w:t>
      </w:r>
      <w:r w:rsidR="00791C37" w:rsidRPr="00EA56BB">
        <w:rPr>
          <w:rFonts w:ascii="Arial" w:hAnsi="Arial" w:cs="Arial"/>
          <w:color w:val="262626"/>
        </w:rPr>
        <w:t>Breach of a F</w:t>
      </w:r>
      <w:r w:rsidR="00103CBB" w:rsidRPr="00EA56BB">
        <w:rPr>
          <w:rFonts w:ascii="Arial" w:hAnsi="Arial" w:cs="Arial"/>
          <w:color w:val="262626"/>
        </w:rPr>
        <w:t>G</w:t>
      </w:r>
      <w:r w:rsidR="00791C37" w:rsidRPr="00EA56BB">
        <w:rPr>
          <w:rFonts w:ascii="Arial" w:hAnsi="Arial" w:cs="Arial"/>
          <w:color w:val="262626"/>
        </w:rPr>
        <w:t xml:space="preserve">MPO can be dealt with either in a criminal court or in a civil court. If the breach has been heard in a civil court then it is not possible to prosecute the same breach through the Criminal Justice System (CJS).  When the breach is dealt with in the </w:t>
      </w:r>
      <w:r w:rsidR="0046056A" w:rsidRPr="00EA56BB">
        <w:rPr>
          <w:rFonts w:ascii="Arial" w:hAnsi="Arial" w:cs="Arial"/>
          <w:color w:val="262626"/>
        </w:rPr>
        <w:t>criminal court</w:t>
      </w:r>
      <w:r w:rsidR="00791C37" w:rsidRPr="00EA56BB">
        <w:rPr>
          <w:rFonts w:ascii="Arial" w:hAnsi="Arial" w:cs="Arial"/>
          <w:color w:val="262626"/>
        </w:rPr>
        <w:t>, breach of the F</w:t>
      </w:r>
      <w:r w:rsidR="00103CBB" w:rsidRPr="00EA56BB">
        <w:rPr>
          <w:rFonts w:ascii="Arial" w:hAnsi="Arial" w:cs="Arial"/>
          <w:color w:val="262626"/>
        </w:rPr>
        <w:t>G</w:t>
      </w:r>
      <w:r w:rsidR="00791C37" w:rsidRPr="00EA56BB">
        <w:rPr>
          <w:rFonts w:ascii="Arial" w:hAnsi="Arial" w:cs="Arial"/>
          <w:color w:val="262626"/>
        </w:rPr>
        <w:t>MPO should be treated in the same way as a prosecution of any other breach of an order for example, a breach of a non-molestation order.</w:t>
      </w:r>
    </w:p>
    <w:p w:rsidR="00682A7E" w:rsidRPr="00EA56BB" w:rsidRDefault="00682A7E" w:rsidP="00682A7E">
      <w:pPr>
        <w:rPr>
          <w:rFonts w:ascii="Arial" w:hAnsi="Arial" w:cs="Arial"/>
        </w:rPr>
      </w:pPr>
      <w:r w:rsidRPr="00EA56BB">
        <w:rPr>
          <w:rFonts w:ascii="Arial" w:hAnsi="Arial" w:cs="Arial"/>
        </w:rPr>
        <w:t>7.</w:t>
      </w:r>
      <w:r w:rsidR="00E0551E">
        <w:rPr>
          <w:rFonts w:ascii="Arial" w:hAnsi="Arial" w:cs="Arial"/>
        </w:rPr>
        <w:t>6</w:t>
      </w:r>
      <w:r w:rsidRPr="00EA56BB">
        <w:rPr>
          <w:rFonts w:ascii="Arial" w:hAnsi="Arial" w:cs="Arial"/>
        </w:rPr>
        <w:t xml:space="preserve"> Prosecutors will inform the police if a restraining order is granted by the court. The police will promptly inform the </w:t>
      </w:r>
      <w:r w:rsidR="007152ED">
        <w:rPr>
          <w:rFonts w:ascii="Arial" w:hAnsi="Arial" w:cs="Arial"/>
        </w:rPr>
        <w:t>complainant</w:t>
      </w:r>
      <w:r w:rsidRPr="00EA56BB">
        <w:rPr>
          <w:rFonts w:ascii="Arial" w:hAnsi="Arial" w:cs="Arial"/>
        </w:rPr>
        <w:t xml:space="preserve"> of the full details of any restraining order and where appropriate also share these with </w:t>
      </w:r>
      <w:r w:rsidR="009260D4" w:rsidRPr="00EA56BB">
        <w:rPr>
          <w:rFonts w:ascii="Arial" w:hAnsi="Arial" w:cs="Arial"/>
        </w:rPr>
        <w:t>any</w:t>
      </w:r>
      <w:r w:rsidRPr="00EA56BB">
        <w:rPr>
          <w:rFonts w:ascii="Arial" w:hAnsi="Arial" w:cs="Arial"/>
        </w:rPr>
        <w:t xml:space="preserve"> specialist agency and the probation service.  </w:t>
      </w:r>
    </w:p>
    <w:p w:rsidR="00586A79" w:rsidRPr="00EA56BB" w:rsidRDefault="00586A79" w:rsidP="00417EEF">
      <w:pPr>
        <w:rPr>
          <w:rFonts w:ascii="Arial" w:hAnsi="Arial" w:cs="Arial"/>
        </w:rPr>
      </w:pPr>
    </w:p>
    <w:p w:rsidR="00586A79" w:rsidRPr="00EA56BB" w:rsidRDefault="00C83025" w:rsidP="00417EEF">
      <w:pPr>
        <w:rPr>
          <w:rFonts w:ascii="Arial" w:hAnsi="Arial" w:cs="Arial"/>
          <w:b/>
          <w:bCs/>
        </w:rPr>
      </w:pPr>
      <w:r w:rsidRPr="00EA56BB">
        <w:rPr>
          <w:rFonts w:ascii="Arial" w:hAnsi="Arial" w:cs="Arial"/>
          <w:b/>
          <w:bCs/>
        </w:rPr>
        <w:t>8</w:t>
      </w:r>
      <w:r w:rsidR="00586A79" w:rsidRPr="00EA56BB">
        <w:rPr>
          <w:rFonts w:ascii="Arial" w:hAnsi="Arial" w:cs="Arial"/>
          <w:b/>
          <w:bCs/>
        </w:rPr>
        <w:t xml:space="preserve">. SECTION </w:t>
      </w:r>
      <w:r w:rsidRPr="00EA56BB">
        <w:rPr>
          <w:rFonts w:ascii="Arial" w:hAnsi="Arial" w:cs="Arial"/>
          <w:b/>
          <w:bCs/>
        </w:rPr>
        <w:t>8</w:t>
      </w:r>
      <w:r w:rsidR="00586A79" w:rsidRPr="00EA56BB">
        <w:rPr>
          <w:rFonts w:ascii="Arial" w:hAnsi="Arial" w:cs="Arial"/>
          <w:b/>
          <w:bCs/>
        </w:rPr>
        <w:t xml:space="preserve"> – CASE PREPARATION </w:t>
      </w:r>
    </w:p>
    <w:p w:rsidR="00586A79" w:rsidRPr="00EA56BB" w:rsidRDefault="00586A79" w:rsidP="00417EEF">
      <w:pPr>
        <w:rPr>
          <w:rFonts w:ascii="Arial" w:hAnsi="Arial" w:cs="Arial"/>
          <w:b/>
          <w:bCs/>
        </w:rPr>
      </w:pPr>
    </w:p>
    <w:p w:rsidR="00586A79" w:rsidRPr="00EA56BB" w:rsidRDefault="004D4976" w:rsidP="008314BD">
      <w:pPr>
        <w:rPr>
          <w:rFonts w:ascii="Arial" w:hAnsi="Arial" w:cs="Arial"/>
        </w:rPr>
      </w:pPr>
      <w:r w:rsidRPr="00EA56BB">
        <w:rPr>
          <w:rFonts w:ascii="Arial" w:hAnsi="Arial" w:cs="Arial"/>
        </w:rPr>
        <w:t>8</w:t>
      </w:r>
      <w:r w:rsidR="00586A79" w:rsidRPr="00EA56BB">
        <w:rPr>
          <w:rFonts w:ascii="Arial" w:hAnsi="Arial" w:cs="Arial"/>
        </w:rPr>
        <w:t>.1 Prosecutors should work closely with the police and other specialist agencies to ensure that the best evidence is gathered and presented to the court.  The case should have a clear narrative pre-empting and challenging any assumptions/associated myths and stereotypes.  A strong, coordinated prosecution team is required to proactively build and manage a case.</w:t>
      </w:r>
    </w:p>
    <w:p w:rsidR="00586A79" w:rsidRPr="00EA56BB" w:rsidRDefault="00586A79" w:rsidP="00417EEF">
      <w:pPr>
        <w:rPr>
          <w:rFonts w:ascii="Arial" w:hAnsi="Arial" w:cs="Arial"/>
        </w:rPr>
      </w:pPr>
    </w:p>
    <w:p w:rsidR="004D4976" w:rsidRPr="00EA56BB" w:rsidRDefault="00F52143" w:rsidP="00417EEF">
      <w:pPr>
        <w:rPr>
          <w:rFonts w:ascii="Arial" w:hAnsi="Arial" w:cs="Arial"/>
        </w:rPr>
      </w:pPr>
      <w:r w:rsidRPr="00EA56BB">
        <w:rPr>
          <w:rFonts w:ascii="Arial" w:hAnsi="Arial" w:cs="Arial"/>
        </w:rPr>
        <w:t xml:space="preserve">8.2 A conference with the trial advocate, the CPS Area FGM Lead, the IO, CPS caseworker, the FP and expert (where appropriate) should be held in every FGM case as soon as practicable after the advocate has received instructions. </w:t>
      </w:r>
    </w:p>
    <w:p w:rsidR="004D4976" w:rsidRPr="00EA56BB" w:rsidRDefault="004D4976" w:rsidP="00417EEF">
      <w:pPr>
        <w:rPr>
          <w:rFonts w:ascii="Arial" w:hAnsi="Arial" w:cs="Arial"/>
        </w:rPr>
      </w:pPr>
    </w:p>
    <w:p w:rsidR="007076CB" w:rsidRPr="007076CB" w:rsidRDefault="00DB5654" w:rsidP="007076CB">
      <w:pPr>
        <w:rPr>
          <w:rFonts w:ascii="Arial" w:hAnsi="Arial" w:cs="Arial"/>
        </w:rPr>
      </w:pPr>
      <w:r w:rsidRPr="00EA56BB">
        <w:rPr>
          <w:rFonts w:ascii="Arial" w:hAnsi="Arial" w:cs="Arial"/>
        </w:rPr>
        <w:t>8</w:t>
      </w:r>
      <w:r w:rsidR="00586A79" w:rsidRPr="00EA56BB">
        <w:rPr>
          <w:rFonts w:ascii="Arial" w:hAnsi="Arial" w:cs="Arial"/>
        </w:rPr>
        <w:t>.</w:t>
      </w:r>
      <w:r w:rsidRPr="00EA56BB">
        <w:rPr>
          <w:rFonts w:ascii="Arial" w:hAnsi="Arial" w:cs="Arial"/>
        </w:rPr>
        <w:t>3</w:t>
      </w:r>
      <w:r w:rsidR="00586A79" w:rsidRPr="00EA56BB">
        <w:rPr>
          <w:rFonts w:ascii="Arial" w:hAnsi="Arial" w:cs="Arial"/>
        </w:rPr>
        <w:t xml:space="preserve">. If the suspect pleads not guilty, </w:t>
      </w:r>
      <w:r w:rsidR="007076CB" w:rsidRPr="007076CB">
        <w:rPr>
          <w:rFonts w:ascii="Arial" w:hAnsi="Arial" w:cs="Arial"/>
        </w:rPr>
        <w:t xml:space="preserve">the full evidential file sent by the police should meet the national file standard and include: </w:t>
      </w:r>
    </w:p>
    <w:p w:rsidR="00586A79" w:rsidRPr="00EA56BB" w:rsidRDefault="00586A79" w:rsidP="005B3F2E">
      <w:pPr>
        <w:rPr>
          <w:rFonts w:ascii="Arial" w:hAnsi="Arial" w:cs="Arial"/>
        </w:rPr>
      </w:pPr>
    </w:p>
    <w:p w:rsidR="00586A79" w:rsidRPr="00EA56BB" w:rsidRDefault="00586A79" w:rsidP="00417EEF">
      <w:pPr>
        <w:pStyle w:val="ListParagraph"/>
        <w:numPr>
          <w:ilvl w:val="0"/>
          <w:numId w:val="12"/>
        </w:numPr>
        <w:rPr>
          <w:rFonts w:ascii="Arial" w:hAnsi="Arial" w:cs="Arial"/>
        </w:rPr>
      </w:pPr>
      <w:r w:rsidRPr="00EA56BB">
        <w:rPr>
          <w:rFonts w:ascii="Arial" w:hAnsi="Arial" w:cs="Arial"/>
        </w:rPr>
        <w:t xml:space="preserve">The </w:t>
      </w:r>
      <w:r w:rsidR="007152ED">
        <w:rPr>
          <w:rFonts w:ascii="Arial" w:hAnsi="Arial" w:cs="Arial"/>
        </w:rPr>
        <w:t>complainant</w:t>
      </w:r>
      <w:r w:rsidRPr="00EA56BB">
        <w:rPr>
          <w:rFonts w:ascii="Arial" w:hAnsi="Arial" w:cs="Arial"/>
        </w:rPr>
        <w:t>’s views on an application for a F</w:t>
      </w:r>
      <w:r w:rsidR="00AD1C8E" w:rsidRPr="00EA56BB">
        <w:rPr>
          <w:rFonts w:ascii="Arial" w:hAnsi="Arial" w:cs="Arial"/>
        </w:rPr>
        <w:t>G</w:t>
      </w:r>
      <w:r w:rsidRPr="00EA56BB">
        <w:rPr>
          <w:rFonts w:ascii="Arial" w:hAnsi="Arial" w:cs="Arial"/>
        </w:rPr>
        <w:t xml:space="preserve">MPO or restraining order; and </w:t>
      </w:r>
    </w:p>
    <w:p w:rsidR="00586A79" w:rsidRPr="00EA56BB" w:rsidRDefault="00586A79" w:rsidP="00BE24B6">
      <w:pPr>
        <w:pStyle w:val="ListParagraph"/>
        <w:numPr>
          <w:ilvl w:val="0"/>
          <w:numId w:val="12"/>
        </w:numPr>
        <w:rPr>
          <w:rFonts w:ascii="Arial" w:hAnsi="Arial" w:cs="Arial"/>
        </w:rPr>
      </w:pPr>
      <w:r w:rsidRPr="00EA56BB">
        <w:rPr>
          <w:rFonts w:ascii="Arial" w:hAnsi="Arial" w:cs="Arial"/>
        </w:rPr>
        <w:t>Confirmation that the police have discussed the proposed terms of a F</w:t>
      </w:r>
      <w:r w:rsidR="00AD1C8E" w:rsidRPr="00EA56BB">
        <w:rPr>
          <w:rFonts w:ascii="Arial" w:hAnsi="Arial" w:cs="Arial"/>
        </w:rPr>
        <w:t>G</w:t>
      </w:r>
      <w:r w:rsidRPr="00EA56BB">
        <w:rPr>
          <w:rFonts w:ascii="Arial" w:hAnsi="Arial" w:cs="Arial"/>
        </w:rPr>
        <w:t>M</w:t>
      </w:r>
      <w:r w:rsidR="00AD1C8E" w:rsidRPr="00EA56BB">
        <w:rPr>
          <w:rFonts w:ascii="Arial" w:hAnsi="Arial" w:cs="Arial"/>
        </w:rPr>
        <w:t xml:space="preserve"> </w:t>
      </w:r>
      <w:r w:rsidRPr="00EA56BB">
        <w:rPr>
          <w:rFonts w:ascii="Arial" w:hAnsi="Arial" w:cs="Arial"/>
        </w:rPr>
        <w:t xml:space="preserve">PO and/or a restraining order with </w:t>
      </w:r>
      <w:r w:rsidR="007152ED">
        <w:rPr>
          <w:rFonts w:ascii="Arial" w:hAnsi="Arial" w:cs="Arial"/>
        </w:rPr>
        <w:t>complainant</w:t>
      </w:r>
      <w:r w:rsidRPr="00EA56BB">
        <w:rPr>
          <w:rFonts w:ascii="Arial" w:hAnsi="Arial" w:cs="Arial"/>
        </w:rPr>
        <w:t xml:space="preserve"> and a draft F</w:t>
      </w:r>
      <w:r w:rsidR="00AD1C8E" w:rsidRPr="00EA56BB">
        <w:rPr>
          <w:rFonts w:ascii="Arial" w:hAnsi="Arial" w:cs="Arial"/>
        </w:rPr>
        <w:t>G</w:t>
      </w:r>
      <w:r w:rsidRPr="00EA56BB">
        <w:rPr>
          <w:rFonts w:ascii="Arial" w:hAnsi="Arial" w:cs="Arial"/>
        </w:rPr>
        <w:t xml:space="preserve">MPO/restraining order setting out proposed conditions tailored to </w:t>
      </w:r>
      <w:r w:rsidR="007152ED">
        <w:rPr>
          <w:rFonts w:ascii="Arial" w:hAnsi="Arial" w:cs="Arial"/>
        </w:rPr>
        <w:t>complainant</w:t>
      </w:r>
      <w:r w:rsidRPr="00EA56BB">
        <w:rPr>
          <w:rFonts w:ascii="Arial" w:hAnsi="Arial" w:cs="Arial"/>
        </w:rPr>
        <w:t>’s needs and addressing the specific circumstances of the behaviour</w:t>
      </w:r>
    </w:p>
    <w:p w:rsidR="00586A79" w:rsidRPr="00EA56BB" w:rsidRDefault="00586A79" w:rsidP="00417EEF">
      <w:pPr>
        <w:rPr>
          <w:rFonts w:ascii="Arial" w:hAnsi="Arial" w:cs="Arial"/>
        </w:rPr>
      </w:pPr>
    </w:p>
    <w:p w:rsidR="00586A79" w:rsidRPr="00EA56BB" w:rsidRDefault="00DB5654" w:rsidP="00417EEF">
      <w:pPr>
        <w:rPr>
          <w:rFonts w:ascii="Arial" w:hAnsi="Arial" w:cs="Arial"/>
        </w:rPr>
      </w:pPr>
      <w:r w:rsidRPr="00EA56BB">
        <w:rPr>
          <w:rFonts w:ascii="Arial" w:hAnsi="Arial" w:cs="Arial"/>
        </w:rPr>
        <w:t>8</w:t>
      </w:r>
      <w:r w:rsidR="00586A79" w:rsidRPr="00EA56BB">
        <w:rPr>
          <w:rFonts w:ascii="Arial" w:hAnsi="Arial" w:cs="Arial"/>
        </w:rPr>
        <w:t>.</w:t>
      </w:r>
      <w:r w:rsidRPr="00EA56BB">
        <w:rPr>
          <w:rFonts w:ascii="Arial" w:hAnsi="Arial" w:cs="Arial"/>
        </w:rPr>
        <w:t>4</w:t>
      </w:r>
      <w:r w:rsidR="00586A79" w:rsidRPr="00EA56BB">
        <w:rPr>
          <w:rFonts w:ascii="Arial" w:hAnsi="Arial" w:cs="Arial"/>
        </w:rPr>
        <w:t xml:space="preserve"> When a </w:t>
      </w:r>
      <w:r w:rsidR="007152ED">
        <w:rPr>
          <w:rFonts w:ascii="Arial" w:hAnsi="Arial" w:cs="Arial"/>
        </w:rPr>
        <w:t>complainant</w:t>
      </w:r>
      <w:r w:rsidR="00586A79" w:rsidRPr="00EA56BB">
        <w:rPr>
          <w:rFonts w:ascii="Arial" w:hAnsi="Arial" w:cs="Arial"/>
        </w:rPr>
        <w:t xml:space="preserve"> asks the police not to proceed or withdraws their support for a prosecution the police will take a written statement that will: </w:t>
      </w:r>
    </w:p>
    <w:p w:rsidR="00586A79" w:rsidRPr="00EA56BB" w:rsidRDefault="00586A79" w:rsidP="00417EEF">
      <w:pPr>
        <w:rPr>
          <w:rFonts w:ascii="Arial" w:hAnsi="Arial" w:cs="Arial"/>
        </w:rPr>
      </w:pPr>
    </w:p>
    <w:p w:rsidR="00586A79" w:rsidRPr="00EA56BB" w:rsidRDefault="00586A79" w:rsidP="000B7A64">
      <w:pPr>
        <w:pStyle w:val="ListParagraph"/>
        <w:numPr>
          <w:ilvl w:val="0"/>
          <w:numId w:val="12"/>
        </w:numPr>
        <w:rPr>
          <w:rFonts w:ascii="Arial" w:hAnsi="Arial" w:cs="Arial"/>
        </w:rPr>
      </w:pPr>
      <w:r w:rsidRPr="00EA56BB">
        <w:rPr>
          <w:rFonts w:ascii="Arial" w:hAnsi="Arial" w:cs="Arial"/>
        </w:rPr>
        <w:t xml:space="preserve">Explain the reasons for withdrawing support; </w:t>
      </w:r>
    </w:p>
    <w:p w:rsidR="00586A79" w:rsidRPr="00EA56BB" w:rsidRDefault="00586A79" w:rsidP="00417EEF">
      <w:pPr>
        <w:pStyle w:val="ListParagraph"/>
        <w:numPr>
          <w:ilvl w:val="0"/>
          <w:numId w:val="12"/>
        </w:numPr>
        <w:rPr>
          <w:rFonts w:ascii="Arial" w:hAnsi="Arial" w:cs="Arial"/>
        </w:rPr>
      </w:pPr>
      <w:r w:rsidRPr="00EA56BB">
        <w:rPr>
          <w:rFonts w:ascii="Arial" w:hAnsi="Arial" w:cs="Arial"/>
        </w:rPr>
        <w:t xml:space="preserve">Set out whether the </w:t>
      </w:r>
      <w:r w:rsidR="007152ED">
        <w:rPr>
          <w:rFonts w:ascii="Arial" w:hAnsi="Arial" w:cs="Arial"/>
        </w:rPr>
        <w:t>complainant</w:t>
      </w:r>
      <w:r w:rsidRPr="00EA56BB">
        <w:rPr>
          <w:rFonts w:ascii="Arial" w:hAnsi="Arial" w:cs="Arial"/>
        </w:rPr>
        <w:t xml:space="preserve"> has been pressurised to withdraw their complaint by any person</w:t>
      </w:r>
      <w:r w:rsidR="000F7481" w:rsidRPr="00EA56BB">
        <w:rPr>
          <w:rFonts w:ascii="Arial" w:hAnsi="Arial" w:cs="Arial"/>
        </w:rPr>
        <w:t xml:space="preserve"> and</w:t>
      </w:r>
      <w:r w:rsidRPr="00EA56BB">
        <w:rPr>
          <w:rFonts w:ascii="Arial" w:hAnsi="Arial" w:cs="Arial"/>
        </w:rPr>
        <w:t xml:space="preserve">; </w:t>
      </w:r>
    </w:p>
    <w:p w:rsidR="00586A79" w:rsidRPr="00EA56BB" w:rsidRDefault="00586A79" w:rsidP="00417EEF">
      <w:pPr>
        <w:pStyle w:val="ListParagraph"/>
        <w:numPr>
          <w:ilvl w:val="0"/>
          <w:numId w:val="12"/>
        </w:numPr>
        <w:rPr>
          <w:rFonts w:ascii="Arial" w:hAnsi="Arial" w:cs="Arial"/>
        </w:rPr>
      </w:pPr>
      <w:r w:rsidRPr="00EA56BB">
        <w:rPr>
          <w:rFonts w:ascii="Arial" w:hAnsi="Arial" w:cs="Arial"/>
        </w:rPr>
        <w:t xml:space="preserve">Confirm whether the </w:t>
      </w:r>
      <w:r w:rsidR="007152ED">
        <w:rPr>
          <w:rFonts w:ascii="Arial" w:hAnsi="Arial" w:cs="Arial"/>
        </w:rPr>
        <w:t>complainant</w:t>
      </w:r>
      <w:r w:rsidRPr="00EA56BB">
        <w:rPr>
          <w:rFonts w:ascii="Arial" w:hAnsi="Arial" w:cs="Arial"/>
        </w:rPr>
        <w:t xml:space="preserve"> is pursuing any civil action. </w:t>
      </w:r>
    </w:p>
    <w:p w:rsidR="00586A79" w:rsidRPr="00EA56BB" w:rsidRDefault="00586A79" w:rsidP="00417EEF">
      <w:pPr>
        <w:rPr>
          <w:rFonts w:ascii="Arial" w:hAnsi="Arial" w:cs="Arial"/>
        </w:rPr>
      </w:pPr>
    </w:p>
    <w:p w:rsidR="00586A79" w:rsidRPr="00EA56BB" w:rsidRDefault="00DB5654" w:rsidP="00417EEF">
      <w:pPr>
        <w:rPr>
          <w:rFonts w:ascii="Arial" w:hAnsi="Arial" w:cs="Arial"/>
        </w:rPr>
      </w:pPr>
      <w:r w:rsidRPr="00EA56BB">
        <w:rPr>
          <w:rFonts w:ascii="Arial" w:hAnsi="Arial" w:cs="Arial"/>
        </w:rPr>
        <w:t>8</w:t>
      </w:r>
      <w:r w:rsidR="00586A79" w:rsidRPr="00EA56BB">
        <w:rPr>
          <w:rFonts w:ascii="Arial" w:hAnsi="Arial" w:cs="Arial"/>
        </w:rPr>
        <w:t>.</w:t>
      </w:r>
      <w:r w:rsidRPr="00EA56BB">
        <w:rPr>
          <w:rFonts w:ascii="Arial" w:hAnsi="Arial" w:cs="Arial"/>
        </w:rPr>
        <w:t>5</w:t>
      </w:r>
      <w:r w:rsidR="00586A79" w:rsidRPr="00EA56BB">
        <w:rPr>
          <w:rFonts w:ascii="Arial" w:hAnsi="Arial" w:cs="Arial"/>
        </w:rPr>
        <w:t xml:space="preserve"> In addition, the police will provide a report that will: </w:t>
      </w:r>
    </w:p>
    <w:p w:rsidR="00586A79" w:rsidRPr="00EA56BB" w:rsidRDefault="00586A79" w:rsidP="00417EEF">
      <w:pPr>
        <w:rPr>
          <w:rFonts w:ascii="Arial" w:hAnsi="Arial" w:cs="Arial"/>
        </w:rPr>
      </w:pPr>
    </w:p>
    <w:p w:rsidR="00586A79" w:rsidRPr="00EA56BB" w:rsidRDefault="00586A79" w:rsidP="000B7A64">
      <w:pPr>
        <w:pStyle w:val="ListParagraph"/>
        <w:numPr>
          <w:ilvl w:val="0"/>
          <w:numId w:val="12"/>
        </w:numPr>
        <w:rPr>
          <w:rFonts w:ascii="Arial" w:hAnsi="Arial" w:cs="Arial"/>
        </w:rPr>
      </w:pPr>
      <w:r w:rsidRPr="00EA56BB">
        <w:rPr>
          <w:rFonts w:ascii="Arial" w:hAnsi="Arial" w:cs="Arial"/>
        </w:rPr>
        <w:t xml:space="preserve">Set out the investigator’s views about the case, in particular the reasons for withdrawal and its impact on the case; </w:t>
      </w:r>
    </w:p>
    <w:p w:rsidR="00586A79" w:rsidRPr="00EA56BB" w:rsidRDefault="00586A79" w:rsidP="000B7A64">
      <w:pPr>
        <w:pStyle w:val="ListParagraph"/>
        <w:numPr>
          <w:ilvl w:val="0"/>
          <w:numId w:val="12"/>
        </w:numPr>
        <w:rPr>
          <w:rFonts w:ascii="Arial" w:hAnsi="Arial" w:cs="Arial"/>
        </w:rPr>
      </w:pPr>
      <w:r w:rsidRPr="00EA56BB">
        <w:rPr>
          <w:rFonts w:ascii="Arial" w:hAnsi="Arial" w:cs="Arial"/>
        </w:rPr>
        <w:t xml:space="preserve">Confirm if the </w:t>
      </w:r>
      <w:r w:rsidR="007152ED">
        <w:rPr>
          <w:rFonts w:ascii="Arial" w:hAnsi="Arial" w:cs="Arial"/>
        </w:rPr>
        <w:t>complainant</w:t>
      </w:r>
      <w:r w:rsidRPr="00EA56BB">
        <w:rPr>
          <w:rFonts w:ascii="Arial" w:hAnsi="Arial" w:cs="Arial"/>
        </w:rPr>
        <w:t xml:space="preserve"> is supported by any specialist support service and, where they are, </w:t>
      </w:r>
      <w:r w:rsidR="000F7481" w:rsidRPr="00EA56BB">
        <w:rPr>
          <w:rFonts w:ascii="Arial" w:hAnsi="Arial" w:cs="Arial"/>
        </w:rPr>
        <w:t xml:space="preserve">include </w:t>
      </w:r>
      <w:r w:rsidRPr="00EA56BB">
        <w:rPr>
          <w:rFonts w:ascii="Arial" w:hAnsi="Arial" w:cs="Arial"/>
        </w:rPr>
        <w:t xml:space="preserve">the views of the supporter on how the </w:t>
      </w:r>
      <w:r w:rsidR="007152ED">
        <w:rPr>
          <w:rFonts w:ascii="Arial" w:hAnsi="Arial" w:cs="Arial"/>
        </w:rPr>
        <w:t>complainant</w:t>
      </w:r>
      <w:r w:rsidRPr="00EA56BB">
        <w:rPr>
          <w:rFonts w:ascii="Arial" w:hAnsi="Arial" w:cs="Arial"/>
        </w:rPr>
        <w:t xml:space="preserve"> might react if required to attend court and whether they have been put under pressure not to support the prosecution; </w:t>
      </w:r>
    </w:p>
    <w:p w:rsidR="00586A79" w:rsidRPr="00EA56BB" w:rsidRDefault="00586A79" w:rsidP="000B7A64">
      <w:pPr>
        <w:pStyle w:val="ListParagraph"/>
        <w:numPr>
          <w:ilvl w:val="0"/>
          <w:numId w:val="12"/>
        </w:numPr>
        <w:rPr>
          <w:rFonts w:ascii="Arial" w:hAnsi="Arial" w:cs="Arial"/>
        </w:rPr>
      </w:pPr>
      <w:r w:rsidRPr="00EA56BB">
        <w:rPr>
          <w:rFonts w:ascii="Arial" w:hAnsi="Arial" w:cs="Arial"/>
        </w:rPr>
        <w:t xml:space="preserve">Assess the risks to the </w:t>
      </w:r>
      <w:r w:rsidR="007152ED">
        <w:rPr>
          <w:rFonts w:ascii="Arial" w:hAnsi="Arial" w:cs="Arial"/>
        </w:rPr>
        <w:t>complainant</w:t>
      </w:r>
      <w:r w:rsidRPr="00EA56BB">
        <w:rPr>
          <w:rFonts w:ascii="Arial" w:hAnsi="Arial" w:cs="Arial"/>
        </w:rPr>
        <w:t xml:space="preserve"> and any other persons’</w:t>
      </w:r>
      <w:r w:rsidR="00463179" w:rsidRPr="00EA56BB">
        <w:rPr>
          <w:rFonts w:ascii="Arial" w:hAnsi="Arial" w:cs="Arial"/>
        </w:rPr>
        <w:t xml:space="preserve"> safety</w:t>
      </w:r>
      <w:r w:rsidRPr="00EA56BB">
        <w:rPr>
          <w:rFonts w:ascii="Arial" w:hAnsi="Arial" w:cs="Arial"/>
        </w:rPr>
        <w:t xml:space="preserve"> and</w:t>
      </w:r>
      <w:r w:rsidR="00463179" w:rsidRPr="00EA56BB">
        <w:rPr>
          <w:rFonts w:ascii="Arial" w:hAnsi="Arial" w:cs="Arial"/>
        </w:rPr>
        <w:t>;</w:t>
      </w:r>
      <w:r w:rsidRPr="00EA56BB">
        <w:rPr>
          <w:rFonts w:ascii="Arial" w:hAnsi="Arial" w:cs="Arial"/>
        </w:rPr>
        <w:t xml:space="preserve"> </w:t>
      </w:r>
    </w:p>
    <w:p w:rsidR="00586A79" w:rsidRPr="00EA56BB" w:rsidRDefault="00586A79" w:rsidP="000B7A64">
      <w:pPr>
        <w:pStyle w:val="ListParagraph"/>
        <w:numPr>
          <w:ilvl w:val="0"/>
          <w:numId w:val="12"/>
        </w:numPr>
        <w:rPr>
          <w:rFonts w:ascii="Arial" w:hAnsi="Arial" w:cs="Arial"/>
        </w:rPr>
      </w:pPr>
      <w:r w:rsidRPr="00EA56BB">
        <w:rPr>
          <w:rFonts w:ascii="Arial" w:hAnsi="Arial" w:cs="Arial"/>
        </w:rPr>
        <w:t xml:space="preserve">Assess how the </w:t>
      </w:r>
      <w:r w:rsidR="007152ED">
        <w:rPr>
          <w:rFonts w:ascii="Arial" w:hAnsi="Arial" w:cs="Arial"/>
        </w:rPr>
        <w:t>complainant</w:t>
      </w:r>
      <w:r w:rsidRPr="00EA56BB">
        <w:rPr>
          <w:rFonts w:ascii="Arial" w:hAnsi="Arial" w:cs="Arial"/>
        </w:rPr>
        <w:t xml:space="preserve"> might react if required to attend court. </w:t>
      </w:r>
    </w:p>
    <w:p w:rsidR="00586A79" w:rsidRPr="00EA56BB" w:rsidRDefault="00586A79" w:rsidP="00417EEF">
      <w:pPr>
        <w:rPr>
          <w:rFonts w:ascii="Arial" w:hAnsi="Arial" w:cs="Arial"/>
          <w:highlight w:val="yellow"/>
        </w:rPr>
      </w:pPr>
    </w:p>
    <w:p w:rsidR="00586A79" w:rsidRPr="00EA56BB" w:rsidRDefault="00DB5654" w:rsidP="00417EEF">
      <w:pPr>
        <w:rPr>
          <w:rFonts w:ascii="Arial" w:hAnsi="Arial" w:cs="Arial"/>
        </w:rPr>
      </w:pPr>
      <w:r w:rsidRPr="00EA56BB">
        <w:rPr>
          <w:rFonts w:ascii="Arial" w:hAnsi="Arial" w:cs="Arial"/>
        </w:rPr>
        <w:t>8</w:t>
      </w:r>
      <w:r w:rsidR="00586A79" w:rsidRPr="00EA56BB">
        <w:rPr>
          <w:rFonts w:ascii="Arial" w:hAnsi="Arial" w:cs="Arial"/>
        </w:rPr>
        <w:t>.</w:t>
      </w:r>
      <w:r w:rsidRPr="00EA56BB">
        <w:rPr>
          <w:rFonts w:ascii="Arial" w:hAnsi="Arial" w:cs="Arial"/>
        </w:rPr>
        <w:t>6</w:t>
      </w:r>
      <w:r w:rsidR="00586A79" w:rsidRPr="00EA56BB">
        <w:rPr>
          <w:rFonts w:ascii="Arial" w:hAnsi="Arial" w:cs="Arial"/>
        </w:rPr>
        <w:t xml:space="preserve"> If it is suspected that the </w:t>
      </w:r>
      <w:r w:rsidR="007152ED">
        <w:rPr>
          <w:rFonts w:ascii="Arial" w:hAnsi="Arial" w:cs="Arial"/>
        </w:rPr>
        <w:t>complainant</w:t>
      </w:r>
      <w:r w:rsidR="00586A79" w:rsidRPr="00EA56BB">
        <w:rPr>
          <w:rFonts w:ascii="Arial" w:hAnsi="Arial" w:cs="Arial"/>
        </w:rPr>
        <w:t xml:space="preserve"> has been pressurised or is frightened, the police will investigate further and assess any support that has been offered and whether the intervention of a local specialist support service could make a difference. The prosecutor will, if appropriate, ask the court to delay any hearing to enable this to be done.  </w:t>
      </w:r>
    </w:p>
    <w:p w:rsidR="00586A79" w:rsidRPr="00EA56BB" w:rsidRDefault="00586A79" w:rsidP="00417EEF">
      <w:pPr>
        <w:rPr>
          <w:rFonts w:ascii="Arial" w:hAnsi="Arial" w:cs="Arial"/>
        </w:rPr>
      </w:pPr>
    </w:p>
    <w:p w:rsidR="00586A79" w:rsidRPr="00EA56BB" w:rsidRDefault="00DB5654" w:rsidP="00417EEF">
      <w:pPr>
        <w:rPr>
          <w:rFonts w:ascii="Arial" w:hAnsi="Arial" w:cs="Arial"/>
        </w:rPr>
      </w:pPr>
      <w:r w:rsidRPr="00EA56BB">
        <w:rPr>
          <w:rFonts w:ascii="Arial" w:hAnsi="Arial" w:cs="Arial"/>
        </w:rPr>
        <w:t>8</w:t>
      </w:r>
      <w:r w:rsidR="00586A79" w:rsidRPr="00EA56BB">
        <w:rPr>
          <w:rFonts w:ascii="Arial" w:hAnsi="Arial" w:cs="Arial"/>
        </w:rPr>
        <w:t>.</w:t>
      </w:r>
      <w:r w:rsidRPr="00EA56BB">
        <w:rPr>
          <w:rFonts w:ascii="Arial" w:hAnsi="Arial" w:cs="Arial"/>
        </w:rPr>
        <w:t>7</w:t>
      </w:r>
      <w:r w:rsidR="00586A79" w:rsidRPr="00EA56BB">
        <w:rPr>
          <w:rFonts w:ascii="Arial" w:hAnsi="Arial" w:cs="Arial"/>
        </w:rPr>
        <w:t xml:space="preserve"> If the </w:t>
      </w:r>
      <w:r w:rsidR="007152ED">
        <w:rPr>
          <w:rFonts w:ascii="Arial" w:hAnsi="Arial" w:cs="Arial"/>
        </w:rPr>
        <w:t>complainant</w:t>
      </w:r>
      <w:r w:rsidR="00586A79" w:rsidRPr="00EA56BB">
        <w:rPr>
          <w:rFonts w:ascii="Arial" w:hAnsi="Arial" w:cs="Arial"/>
        </w:rPr>
        <w:t xml:space="preserve"> confirms that the complaint is true bu</w:t>
      </w:r>
      <w:r w:rsidR="000F7481" w:rsidRPr="00EA56BB">
        <w:rPr>
          <w:rFonts w:ascii="Arial" w:hAnsi="Arial" w:cs="Arial"/>
        </w:rPr>
        <w:t>t still wants to withdraw, the p</w:t>
      </w:r>
      <w:r w:rsidR="00586A79" w:rsidRPr="00EA56BB">
        <w:rPr>
          <w:rFonts w:ascii="Arial" w:hAnsi="Arial" w:cs="Arial"/>
        </w:rPr>
        <w:t xml:space="preserve">olice and CPS will consider the feasibility of continuing without the </w:t>
      </w:r>
      <w:r w:rsidR="007152ED">
        <w:rPr>
          <w:rFonts w:ascii="Arial" w:hAnsi="Arial" w:cs="Arial"/>
        </w:rPr>
        <w:t>complainant</w:t>
      </w:r>
      <w:r w:rsidR="00586A79" w:rsidRPr="00EA56BB">
        <w:rPr>
          <w:rFonts w:ascii="Arial" w:hAnsi="Arial" w:cs="Arial"/>
        </w:rPr>
        <w:t xml:space="preserve">’s evidence and whether to do so against the </w:t>
      </w:r>
      <w:r w:rsidR="007152ED">
        <w:rPr>
          <w:rFonts w:ascii="Arial" w:hAnsi="Arial" w:cs="Arial"/>
        </w:rPr>
        <w:t>complainant</w:t>
      </w:r>
      <w:r w:rsidR="00586A79" w:rsidRPr="00EA56BB">
        <w:rPr>
          <w:rFonts w:ascii="Arial" w:hAnsi="Arial" w:cs="Arial"/>
        </w:rPr>
        <w:t>’s wishes.</w:t>
      </w:r>
    </w:p>
    <w:p w:rsidR="00586A79" w:rsidRPr="00EA56BB" w:rsidRDefault="00586A79" w:rsidP="00417EEF">
      <w:pPr>
        <w:rPr>
          <w:rFonts w:ascii="Arial" w:hAnsi="Arial" w:cs="Arial"/>
        </w:rPr>
      </w:pPr>
    </w:p>
    <w:p w:rsidR="00586A79" w:rsidRPr="00EA56BB" w:rsidRDefault="00DB5654" w:rsidP="00E51CE0">
      <w:pPr>
        <w:rPr>
          <w:rFonts w:ascii="Arial" w:hAnsi="Arial" w:cs="Arial"/>
        </w:rPr>
      </w:pPr>
      <w:r w:rsidRPr="00EA56BB">
        <w:rPr>
          <w:rFonts w:ascii="Arial" w:hAnsi="Arial" w:cs="Arial"/>
        </w:rPr>
        <w:t>8</w:t>
      </w:r>
      <w:r w:rsidR="00586A79" w:rsidRPr="00EA56BB">
        <w:rPr>
          <w:rFonts w:ascii="Arial" w:hAnsi="Arial" w:cs="Arial"/>
        </w:rPr>
        <w:t>.</w:t>
      </w:r>
      <w:r w:rsidRPr="00EA56BB">
        <w:rPr>
          <w:rFonts w:ascii="Arial" w:hAnsi="Arial" w:cs="Arial"/>
        </w:rPr>
        <w:t>8</w:t>
      </w:r>
      <w:r w:rsidR="00586A79" w:rsidRPr="00EA56BB">
        <w:rPr>
          <w:rFonts w:ascii="Arial" w:hAnsi="Arial" w:cs="Arial"/>
        </w:rPr>
        <w:t xml:space="preserve"> The issue of a witness summons is a last resort; full consideration should be given to the specific facts of the case and impact on the complainant’s safety and wellbeing</w:t>
      </w:r>
      <w:r w:rsidR="00E65FFF" w:rsidRPr="00EA56BB">
        <w:rPr>
          <w:rStyle w:val="FootnoteReference"/>
          <w:rFonts w:ascii="Arial" w:hAnsi="Arial" w:cs="Arial"/>
        </w:rPr>
        <w:footnoteReference w:id="11"/>
      </w:r>
      <w:r w:rsidR="00586A79" w:rsidRPr="00EA56BB">
        <w:rPr>
          <w:rFonts w:ascii="Arial" w:hAnsi="Arial" w:cs="Arial"/>
        </w:rPr>
        <w:t>.  Where a complainant is reluctant to attend court and it is decided the case can only continue with the complainant's evidence to prove the case, Section 169 of the Serious Organised Crime and Police Act 2005 allows the court to issue a witness summons if it considers it to be in the interests of justice to do so.</w:t>
      </w:r>
    </w:p>
    <w:p w:rsidR="00586A79" w:rsidRPr="00EA56BB" w:rsidRDefault="00586A79" w:rsidP="00417EEF">
      <w:pPr>
        <w:rPr>
          <w:rFonts w:ascii="Arial" w:hAnsi="Arial" w:cs="Arial"/>
        </w:rPr>
      </w:pPr>
    </w:p>
    <w:p w:rsidR="00586A79" w:rsidRPr="00EA56BB" w:rsidRDefault="00DB5654" w:rsidP="00417EEF">
      <w:pPr>
        <w:rPr>
          <w:rFonts w:ascii="Arial" w:hAnsi="Arial" w:cs="Arial"/>
        </w:rPr>
      </w:pPr>
      <w:r w:rsidRPr="00EA56BB">
        <w:rPr>
          <w:rFonts w:ascii="Arial" w:hAnsi="Arial" w:cs="Arial"/>
        </w:rPr>
        <w:t>8</w:t>
      </w:r>
      <w:r w:rsidR="00586A79" w:rsidRPr="00EA56BB">
        <w:rPr>
          <w:rFonts w:ascii="Arial" w:hAnsi="Arial" w:cs="Arial"/>
        </w:rPr>
        <w:t>.</w:t>
      </w:r>
      <w:r w:rsidRPr="00EA56BB">
        <w:rPr>
          <w:rFonts w:ascii="Arial" w:hAnsi="Arial" w:cs="Arial"/>
        </w:rPr>
        <w:t>9</w:t>
      </w:r>
      <w:r w:rsidR="00586A79" w:rsidRPr="00EA56BB">
        <w:rPr>
          <w:rFonts w:ascii="Arial" w:hAnsi="Arial" w:cs="Arial"/>
        </w:rPr>
        <w:t xml:space="preserve"> Before the decision to apply for a witness summons is taken, prosecutors must make enquiries to satisfy themselves that the safety of the </w:t>
      </w:r>
      <w:r w:rsidR="007152ED">
        <w:rPr>
          <w:rFonts w:ascii="Arial" w:hAnsi="Arial" w:cs="Arial"/>
        </w:rPr>
        <w:t>complainant</w:t>
      </w:r>
      <w:r w:rsidR="00586A79" w:rsidRPr="00EA56BB">
        <w:rPr>
          <w:rFonts w:ascii="Arial" w:hAnsi="Arial" w:cs="Arial"/>
        </w:rPr>
        <w:t>, any children and/or other dependants will not be endangered. This information could be sourced from the police, and other sources such as any support organisations involved with assisting the complainant.</w:t>
      </w:r>
    </w:p>
    <w:p w:rsidR="00586A79" w:rsidRPr="00EA56BB" w:rsidRDefault="00586A79" w:rsidP="00417EEF">
      <w:pPr>
        <w:rPr>
          <w:rFonts w:ascii="Arial" w:hAnsi="Arial" w:cs="Arial"/>
        </w:rPr>
      </w:pPr>
    </w:p>
    <w:p w:rsidR="00586A79" w:rsidRPr="00EA56BB" w:rsidRDefault="00DB5654" w:rsidP="00417EEF">
      <w:pPr>
        <w:rPr>
          <w:rFonts w:ascii="Arial" w:hAnsi="Arial" w:cs="Arial"/>
        </w:rPr>
      </w:pPr>
      <w:r w:rsidRPr="00EA56BB">
        <w:rPr>
          <w:rFonts w:ascii="Arial" w:hAnsi="Arial" w:cs="Arial"/>
        </w:rPr>
        <w:t>8</w:t>
      </w:r>
      <w:r w:rsidR="00586A79" w:rsidRPr="00EA56BB">
        <w:rPr>
          <w:rFonts w:ascii="Arial" w:hAnsi="Arial" w:cs="Arial"/>
        </w:rPr>
        <w:t>.</w:t>
      </w:r>
      <w:r w:rsidRPr="00EA56BB">
        <w:rPr>
          <w:rFonts w:ascii="Arial" w:hAnsi="Arial" w:cs="Arial"/>
        </w:rPr>
        <w:t>10</w:t>
      </w:r>
      <w:r w:rsidR="00586A79" w:rsidRPr="00EA56BB">
        <w:rPr>
          <w:rFonts w:ascii="Arial" w:hAnsi="Arial" w:cs="Arial"/>
        </w:rPr>
        <w:t xml:space="preserve"> Prosecutors should familiarise themselves with the section on </w:t>
      </w:r>
      <w:r w:rsidR="000F7481" w:rsidRPr="00EA56BB">
        <w:rPr>
          <w:rFonts w:ascii="Arial" w:hAnsi="Arial" w:cs="Arial"/>
        </w:rPr>
        <w:t>w</w:t>
      </w:r>
      <w:r w:rsidR="00586A79" w:rsidRPr="00EA56BB">
        <w:rPr>
          <w:rFonts w:ascii="Arial" w:hAnsi="Arial" w:cs="Arial"/>
        </w:rPr>
        <w:t xml:space="preserve">itness </w:t>
      </w:r>
      <w:r w:rsidR="000F7481" w:rsidRPr="00EA56BB">
        <w:rPr>
          <w:rFonts w:ascii="Arial" w:hAnsi="Arial" w:cs="Arial"/>
        </w:rPr>
        <w:t>s</w:t>
      </w:r>
      <w:r w:rsidR="00586A79" w:rsidRPr="00EA56BB">
        <w:rPr>
          <w:rFonts w:ascii="Arial" w:hAnsi="Arial" w:cs="Arial"/>
        </w:rPr>
        <w:t xml:space="preserve">ummons within the </w:t>
      </w:r>
      <w:hyperlink r:id="rId28" w:anchor="a44" w:history="1">
        <w:r w:rsidR="00586A79" w:rsidRPr="00EA56BB">
          <w:rPr>
            <w:rStyle w:val="Hyperlink"/>
            <w:rFonts w:ascii="Arial" w:hAnsi="Arial" w:cs="Arial"/>
          </w:rPr>
          <w:t>CPS Domestic Abuse Guidelines for Prosecutors</w:t>
        </w:r>
      </w:hyperlink>
      <w:r w:rsidR="00586A79" w:rsidRPr="00EA56BB">
        <w:rPr>
          <w:rFonts w:ascii="Arial" w:hAnsi="Arial" w:cs="Arial"/>
        </w:rPr>
        <w:t>.</w:t>
      </w:r>
      <w:r w:rsidR="00DA52BD">
        <w:rPr>
          <w:rFonts w:ascii="Arial" w:hAnsi="Arial" w:cs="Arial"/>
        </w:rPr>
        <w:t xml:space="preserve"> Police and </w:t>
      </w:r>
      <w:r w:rsidR="00DA52BD" w:rsidRPr="00DA52BD">
        <w:rPr>
          <w:rFonts w:ascii="Arial" w:hAnsi="Arial" w:cs="Arial"/>
        </w:rPr>
        <w:t>prosecutors are reminded that applying for a witness summons should be regarded as a last resort and only considered when all other avenues above have been exhausted.</w:t>
      </w:r>
    </w:p>
    <w:p w:rsidR="00586A79" w:rsidRPr="00EA56BB" w:rsidRDefault="00586A79" w:rsidP="00417EEF">
      <w:pPr>
        <w:rPr>
          <w:rFonts w:ascii="Arial" w:hAnsi="Arial" w:cs="Arial"/>
        </w:rPr>
      </w:pPr>
    </w:p>
    <w:p w:rsidR="00586A79" w:rsidRPr="00EA56BB" w:rsidRDefault="00DB5654" w:rsidP="00417EEF">
      <w:pPr>
        <w:rPr>
          <w:rFonts w:ascii="Arial" w:hAnsi="Arial" w:cs="Arial"/>
          <w:u w:val="single"/>
        </w:rPr>
      </w:pPr>
      <w:r w:rsidRPr="00EA56BB">
        <w:rPr>
          <w:rFonts w:ascii="Arial" w:hAnsi="Arial" w:cs="Arial"/>
        </w:rPr>
        <w:t xml:space="preserve">8.11 </w:t>
      </w:r>
      <w:r w:rsidR="008C1412" w:rsidRPr="00EA56BB">
        <w:rPr>
          <w:rFonts w:ascii="Arial" w:hAnsi="Arial" w:cs="Arial"/>
        </w:rPr>
        <w:t xml:space="preserve">Where the CPS Area FGM Lead proposes to discontinue the case, they will consult with the police to ensure there is no further action that can be taken. </w:t>
      </w:r>
      <w:r w:rsidR="008C1412" w:rsidRPr="00EA56BB">
        <w:rPr>
          <w:rFonts w:ascii="Arial" w:hAnsi="Arial" w:cs="Arial"/>
          <w:u w:val="single"/>
        </w:rPr>
        <w:t>The decision must be referred to senior CPS Area management, the DPPs Private Office in writing and recoded on the CPS Case Management System.</w:t>
      </w:r>
    </w:p>
    <w:p w:rsidR="008C1412" w:rsidRPr="00EA56BB" w:rsidRDefault="008C1412" w:rsidP="00417EEF">
      <w:pPr>
        <w:rPr>
          <w:rFonts w:ascii="Arial" w:hAnsi="Arial" w:cs="Arial"/>
        </w:rPr>
      </w:pPr>
    </w:p>
    <w:p w:rsidR="00586A79" w:rsidRPr="00EA56BB" w:rsidRDefault="004643B8" w:rsidP="00323D1D">
      <w:pPr>
        <w:pStyle w:val="Default"/>
        <w:rPr>
          <w:b/>
          <w:bCs/>
          <w:sz w:val="22"/>
          <w:szCs w:val="22"/>
        </w:rPr>
      </w:pPr>
      <w:bookmarkStart w:id="9" w:name="Section9"/>
      <w:r w:rsidRPr="00EA56BB">
        <w:rPr>
          <w:b/>
          <w:bCs/>
          <w:sz w:val="22"/>
          <w:szCs w:val="22"/>
        </w:rPr>
        <w:t>9</w:t>
      </w:r>
      <w:r w:rsidR="00586A79" w:rsidRPr="00EA56BB">
        <w:rPr>
          <w:b/>
          <w:bCs/>
          <w:sz w:val="22"/>
          <w:szCs w:val="22"/>
        </w:rPr>
        <w:t xml:space="preserve">. SECTION </w:t>
      </w:r>
      <w:r w:rsidRPr="00EA56BB">
        <w:rPr>
          <w:b/>
          <w:bCs/>
          <w:sz w:val="22"/>
          <w:szCs w:val="22"/>
        </w:rPr>
        <w:t>9</w:t>
      </w:r>
      <w:r w:rsidR="00586A79" w:rsidRPr="00EA56BB">
        <w:rPr>
          <w:b/>
          <w:bCs/>
          <w:sz w:val="22"/>
          <w:szCs w:val="22"/>
        </w:rPr>
        <w:t xml:space="preserve"> </w:t>
      </w:r>
      <w:bookmarkEnd w:id="9"/>
      <w:r w:rsidR="00586A79" w:rsidRPr="00EA56BB">
        <w:rPr>
          <w:b/>
          <w:bCs/>
          <w:sz w:val="22"/>
          <w:szCs w:val="22"/>
        </w:rPr>
        <w:t xml:space="preserve">– </w:t>
      </w:r>
      <w:r w:rsidR="00006D50">
        <w:rPr>
          <w:b/>
          <w:bCs/>
          <w:sz w:val="22"/>
          <w:szCs w:val="22"/>
        </w:rPr>
        <w:t>VICTIM AND WITNESS CARE</w:t>
      </w:r>
      <w:r w:rsidR="00586A79" w:rsidRPr="00EA56BB">
        <w:rPr>
          <w:b/>
          <w:bCs/>
          <w:sz w:val="22"/>
          <w:szCs w:val="22"/>
        </w:rPr>
        <w:t xml:space="preserve"> </w:t>
      </w:r>
    </w:p>
    <w:p w:rsidR="00552F56" w:rsidRPr="00EA56BB" w:rsidRDefault="00A07A2B" w:rsidP="00A07A2B">
      <w:pPr>
        <w:pStyle w:val="NormalWeb"/>
        <w:rPr>
          <w:rFonts w:ascii="Arial" w:hAnsi="Arial" w:cs="Arial"/>
          <w:sz w:val="22"/>
          <w:szCs w:val="22"/>
        </w:rPr>
      </w:pPr>
      <w:r w:rsidRPr="00EA56BB">
        <w:rPr>
          <w:rFonts w:ascii="Arial" w:hAnsi="Arial" w:cs="Arial"/>
          <w:sz w:val="22"/>
          <w:szCs w:val="22"/>
        </w:rPr>
        <w:t xml:space="preserve">9.1 </w:t>
      </w:r>
      <w:r w:rsidR="00552F56" w:rsidRPr="00EA56BB">
        <w:rPr>
          <w:rFonts w:ascii="Arial" w:hAnsi="Arial" w:cs="Arial"/>
          <w:sz w:val="22"/>
          <w:szCs w:val="22"/>
        </w:rPr>
        <w:t xml:space="preserve">Prosecutors should be aware, when dealing with a case of FGM, that the </w:t>
      </w:r>
      <w:r w:rsidR="007152ED">
        <w:rPr>
          <w:rFonts w:ascii="Arial" w:hAnsi="Arial" w:cs="Arial"/>
          <w:sz w:val="22"/>
          <w:szCs w:val="22"/>
        </w:rPr>
        <w:t>complainant</w:t>
      </w:r>
      <w:r w:rsidR="00552F56" w:rsidRPr="00EA56BB">
        <w:rPr>
          <w:rFonts w:ascii="Arial" w:hAnsi="Arial" w:cs="Arial"/>
          <w:sz w:val="22"/>
          <w:szCs w:val="22"/>
        </w:rPr>
        <w:t xml:space="preserve"> may not just be a </w:t>
      </w:r>
      <w:r w:rsidR="007152ED">
        <w:rPr>
          <w:rFonts w:ascii="Arial" w:hAnsi="Arial" w:cs="Arial"/>
          <w:sz w:val="22"/>
          <w:szCs w:val="22"/>
        </w:rPr>
        <w:t>complainant</w:t>
      </w:r>
      <w:r w:rsidR="00552F56" w:rsidRPr="00EA56BB">
        <w:rPr>
          <w:rFonts w:ascii="Arial" w:hAnsi="Arial" w:cs="Arial"/>
          <w:sz w:val="22"/>
          <w:szCs w:val="22"/>
        </w:rPr>
        <w:t xml:space="preserve"> of FGM. The </w:t>
      </w:r>
      <w:r w:rsidR="007152ED">
        <w:rPr>
          <w:rFonts w:ascii="Arial" w:hAnsi="Arial" w:cs="Arial"/>
          <w:sz w:val="22"/>
          <w:szCs w:val="22"/>
        </w:rPr>
        <w:t>complainant</w:t>
      </w:r>
      <w:r w:rsidR="00552F56" w:rsidRPr="00EA56BB">
        <w:rPr>
          <w:rFonts w:ascii="Arial" w:hAnsi="Arial" w:cs="Arial"/>
          <w:sz w:val="22"/>
          <w:szCs w:val="22"/>
        </w:rPr>
        <w:t xml:space="preserve"> may also have been subjected to rape and other sexual offences, or may have been subject to a </w:t>
      </w:r>
      <w:r w:rsidRPr="00EA56BB">
        <w:rPr>
          <w:rFonts w:ascii="Arial" w:hAnsi="Arial" w:cs="Arial"/>
          <w:sz w:val="22"/>
          <w:szCs w:val="22"/>
        </w:rPr>
        <w:t>FM</w:t>
      </w:r>
      <w:r w:rsidR="00552F56" w:rsidRPr="00EA56BB">
        <w:rPr>
          <w:rFonts w:ascii="Arial" w:hAnsi="Arial" w:cs="Arial"/>
          <w:sz w:val="22"/>
          <w:szCs w:val="22"/>
        </w:rPr>
        <w:t xml:space="preserve">. </w:t>
      </w:r>
      <w:r w:rsidR="00806283" w:rsidRPr="00EA56BB">
        <w:rPr>
          <w:rFonts w:ascii="Arial" w:hAnsi="Arial" w:cs="Arial"/>
          <w:bCs/>
          <w:sz w:val="22"/>
          <w:szCs w:val="22"/>
        </w:rPr>
        <w:t>There is also the potential for beliefs in witchcraft to be prevalent in practising communities and for these beliefs to be used to justify actions or blame misfortune.</w:t>
      </w:r>
      <w:r w:rsidR="00806283" w:rsidRPr="00EA56BB">
        <w:rPr>
          <w:rFonts w:ascii="Arial" w:hAnsi="Arial" w:cs="Arial"/>
          <w:b/>
          <w:bCs/>
          <w:sz w:val="22"/>
          <w:szCs w:val="22"/>
        </w:rPr>
        <w:t> </w:t>
      </w:r>
      <w:r w:rsidR="00552F56" w:rsidRPr="00EA56BB">
        <w:rPr>
          <w:rFonts w:ascii="Arial" w:hAnsi="Arial" w:cs="Arial"/>
          <w:sz w:val="22"/>
          <w:szCs w:val="22"/>
        </w:rPr>
        <w:t xml:space="preserve">There may also be an element of Coercive Control. The </w:t>
      </w:r>
      <w:r w:rsidR="007152ED">
        <w:rPr>
          <w:rFonts w:ascii="Arial" w:hAnsi="Arial" w:cs="Arial"/>
          <w:sz w:val="22"/>
          <w:szCs w:val="22"/>
        </w:rPr>
        <w:t>complainant</w:t>
      </w:r>
      <w:r w:rsidR="00552F56" w:rsidRPr="00EA56BB">
        <w:rPr>
          <w:rFonts w:ascii="Arial" w:hAnsi="Arial" w:cs="Arial"/>
          <w:sz w:val="22"/>
          <w:szCs w:val="22"/>
        </w:rPr>
        <w:t xml:space="preserve"> may be under 18, and may also be a </w:t>
      </w:r>
      <w:r w:rsidR="007152ED">
        <w:rPr>
          <w:rFonts w:ascii="Arial" w:hAnsi="Arial" w:cs="Arial"/>
          <w:sz w:val="22"/>
          <w:szCs w:val="22"/>
        </w:rPr>
        <w:t>complainant</w:t>
      </w:r>
      <w:r w:rsidR="00552F56" w:rsidRPr="00EA56BB">
        <w:rPr>
          <w:rFonts w:ascii="Arial" w:hAnsi="Arial" w:cs="Arial"/>
          <w:sz w:val="22"/>
          <w:szCs w:val="22"/>
        </w:rPr>
        <w:t xml:space="preserve"> of ill treatment.</w:t>
      </w:r>
    </w:p>
    <w:p w:rsidR="00586A79" w:rsidRPr="00EA56BB" w:rsidRDefault="00A07A2B" w:rsidP="00323D1D">
      <w:pPr>
        <w:pStyle w:val="Default"/>
        <w:rPr>
          <w:bCs/>
          <w:sz w:val="22"/>
          <w:szCs w:val="22"/>
        </w:rPr>
      </w:pPr>
      <w:r w:rsidRPr="00EA56BB">
        <w:rPr>
          <w:bCs/>
          <w:sz w:val="22"/>
          <w:szCs w:val="22"/>
        </w:rPr>
        <w:t>9</w:t>
      </w:r>
      <w:r w:rsidR="00586A79" w:rsidRPr="00EA56BB">
        <w:rPr>
          <w:bCs/>
          <w:sz w:val="22"/>
          <w:szCs w:val="22"/>
        </w:rPr>
        <w:t>.</w:t>
      </w:r>
      <w:r w:rsidRPr="00EA56BB">
        <w:rPr>
          <w:bCs/>
          <w:sz w:val="22"/>
          <w:szCs w:val="22"/>
        </w:rPr>
        <w:t>2</w:t>
      </w:r>
      <w:r w:rsidR="00586A79" w:rsidRPr="00EA56BB">
        <w:rPr>
          <w:bCs/>
          <w:sz w:val="22"/>
          <w:szCs w:val="22"/>
        </w:rPr>
        <w:t xml:space="preserve"> It is important for police and prosecutors to remember that these cases may involve some of our most vulnerable </w:t>
      </w:r>
      <w:r w:rsidR="007152ED">
        <w:rPr>
          <w:bCs/>
          <w:sz w:val="22"/>
          <w:szCs w:val="22"/>
        </w:rPr>
        <w:t>complainant</w:t>
      </w:r>
      <w:r w:rsidR="00586A79" w:rsidRPr="00EA56BB">
        <w:rPr>
          <w:bCs/>
          <w:sz w:val="22"/>
          <w:szCs w:val="22"/>
        </w:rPr>
        <w:t xml:space="preserve">s and witnesses who may have the least confidence in </w:t>
      </w:r>
      <w:r w:rsidR="00486729" w:rsidRPr="00EA56BB">
        <w:rPr>
          <w:bCs/>
          <w:sz w:val="22"/>
          <w:szCs w:val="22"/>
        </w:rPr>
        <w:t xml:space="preserve">the </w:t>
      </w:r>
      <w:r w:rsidR="00586A79" w:rsidRPr="00EA56BB">
        <w:rPr>
          <w:bCs/>
          <w:sz w:val="22"/>
          <w:szCs w:val="22"/>
        </w:rPr>
        <w:t>criminal justice</w:t>
      </w:r>
      <w:r w:rsidR="00486729" w:rsidRPr="00EA56BB">
        <w:rPr>
          <w:bCs/>
          <w:sz w:val="22"/>
          <w:szCs w:val="22"/>
        </w:rPr>
        <w:t xml:space="preserve"> process</w:t>
      </w:r>
      <w:r w:rsidR="00586A79" w:rsidRPr="00EA56BB">
        <w:rPr>
          <w:bCs/>
          <w:sz w:val="22"/>
          <w:szCs w:val="22"/>
        </w:rPr>
        <w:t>.</w:t>
      </w:r>
      <w:r w:rsidR="00583503" w:rsidRPr="00EA56BB">
        <w:rPr>
          <w:bCs/>
          <w:sz w:val="22"/>
          <w:szCs w:val="22"/>
        </w:rPr>
        <w:t xml:space="preserve">  </w:t>
      </w:r>
      <w:r w:rsidR="007152ED">
        <w:rPr>
          <w:color w:val="000000" w:themeColor="text1"/>
          <w:sz w:val="22"/>
          <w:szCs w:val="22"/>
        </w:rPr>
        <w:t>Complainant</w:t>
      </w:r>
      <w:r w:rsidR="00583503" w:rsidRPr="00EA56BB">
        <w:rPr>
          <w:color w:val="000000" w:themeColor="text1"/>
          <w:sz w:val="22"/>
          <w:szCs w:val="22"/>
        </w:rPr>
        <w:t>s often feel a loyalty to their family/community and this might make them particularly reluctant to support a prosecution</w:t>
      </w:r>
      <w:r w:rsidR="00586A79" w:rsidRPr="00EA56BB">
        <w:rPr>
          <w:bCs/>
          <w:color w:val="000000" w:themeColor="text1"/>
          <w:sz w:val="22"/>
          <w:szCs w:val="22"/>
        </w:rPr>
        <w:t xml:space="preserve">   </w:t>
      </w:r>
      <w:proofErr w:type="gramStart"/>
      <w:r w:rsidR="00586A79" w:rsidRPr="00EA56BB">
        <w:rPr>
          <w:bCs/>
          <w:sz w:val="22"/>
          <w:szCs w:val="22"/>
        </w:rPr>
        <w:t>They</w:t>
      </w:r>
      <w:proofErr w:type="gramEnd"/>
      <w:r w:rsidR="00586A79" w:rsidRPr="00EA56BB">
        <w:rPr>
          <w:bCs/>
          <w:sz w:val="22"/>
          <w:szCs w:val="22"/>
        </w:rPr>
        <w:t xml:space="preserve"> may also need support mechanisms not just during the prosecution process, but also after the case is concluded.  </w:t>
      </w:r>
      <w:r w:rsidR="007152ED">
        <w:rPr>
          <w:sz w:val="22"/>
          <w:szCs w:val="22"/>
        </w:rPr>
        <w:t>Complainant</w:t>
      </w:r>
      <w:r w:rsidR="00586A79" w:rsidRPr="00EA56BB">
        <w:rPr>
          <w:sz w:val="22"/>
          <w:szCs w:val="22"/>
        </w:rPr>
        <w:t xml:space="preserve">s of </w:t>
      </w:r>
      <w:r w:rsidR="00695FB1" w:rsidRPr="00EA56BB">
        <w:rPr>
          <w:sz w:val="22"/>
          <w:szCs w:val="22"/>
        </w:rPr>
        <w:t>FGM</w:t>
      </w:r>
      <w:r w:rsidR="00586A79" w:rsidRPr="00EA56BB">
        <w:rPr>
          <w:sz w:val="22"/>
          <w:szCs w:val="22"/>
        </w:rPr>
        <w:t xml:space="preserve"> are entitled to an enhanced service under </w:t>
      </w:r>
      <w:hyperlink r:id="rId29" w:history="1">
        <w:r w:rsidR="003772E4">
          <w:rPr>
            <w:rStyle w:val="Hyperlink"/>
            <w:rFonts w:cs="Arial"/>
            <w:sz w:val="22"/>
            <w:szCs w:val="22"/>
          </w:rPr>
          <w:t>The Code of Practice for Victims of Crime: CPS Legal Guidance (Victims Code)</w:t>
        </w:r>
      </w:hyperlink>
      <w:r w:rsidR="00586A79" w:rsidRPr="00EA56BB">
        <w:rPr>
          <w:sz w:val="22"/>
          <w:szCs w:val="22"/>
        </w:rPr>
        <w:t xml:space="preserve">. The police and CPS will comply with their responsibilities as set out in the </w:t>
      </w:r>
      <w:r w:rsidR="00132C31">
        <w:rPr>
          <w:sz w:val="22"/>
          <w:szCs w:val="22"/>
        </w:rPr>
        <w:t>Victims</w:t>
      </w:r>
      <w:r w:rsidR="00586A79" w:rsidRPr="00EA56BB">
        <w:rPr>
          <w:sz w:val="22"/>
          <w:szCs w:val="22"/>
        </w:rPr>
        <w:t xml:space="preserve"> Code. </w:t>
      </w:r>
    </w:p>
    <w:p w:rsidR="00586A79" w:rsidRPr="00EA56BB" w:rsidRDefault="00586A79" w:rsidP="00323D1D">
      <w:pPr>
        <w:pStyle w:val="Default"/>
        <w:rPr>
          <w:bCs/>
          <w:sz w:val="22"/>
          <w:szCs w:val="22"/>
        </w:rPr>
      </w:pPr>
    </w:p>
    <w:p w:rsidR="00586A79" w:rsidRPr="00EA56BB" w:rsidRDefault="00695FB1" w:rsidP="00323D1D">
      <w:pPr>
        <w:pStyle w:val="Default"/>
        <w:rPr>
          <w:bCs/>
          <w:sz w:val="22"/>
          <w:szCs w:val="22"/>
        </w:rPr>
      </w:pPr>
      <w:r w:rsidRPr="00EA56BB">
        <w:rPr>
          <w:sz w:val="22"/>
          <w:szCs w:val="22"/>
          <w:lang w:eastAsia="en-GB"/>
        </w:rPr>
        <w:t>9.3</w:t>
      </w:r>
      <w:r w:rsidR="00586A79" w:rsidRPr="00EA56BB">
        <w:rPr>
          <w:sz w:val="22"/>
          <w:szCs w:val="22"/>
          <w:lang w:eastAsia="en-GB"/>
        </w:rPr>
        <w:t xml:space="preserve"> The police are responsible for ensuring that all </w:t>
      </w:r>
      <w:r w:rsidRPr="00EA56BB">
        <w:rPr>
          <w:sz w:val="22"/>
          <w:szCs w:val="22"/>
          <w:lang w:eastAsia="en-GB"/>
        </w:rPr>
        <w:t>FGM</w:t>
      </w:r>
      <w:r w:rsidR="00586A79" w:rsidRPr="00EA56BB">
        <w:rPr>
          <w:sz w:val="22"/>
          <w:szCs w:val="22"/>
          <w:lang w:eastAsia="en-GB"/>
        </w:rPr>
        <w:t xml:space="preserve"> </w:t>
      </w:r>
      <w:r w:rsidR="007152ED">
        <w:rPr>
          <w:sz w:val="22"/>
          <w:szCs w:val="22"/>
          <w:lang w:eastAsia="en-GB"/>
        </w:rPr>
        <w:t>complainant</w:t>
      </w:r>
      <w:r w:rsidR="00586A79" w:rsidRPr="00EA56BB">
        <w:rPr>
          <w:sz w:val="22"/>
          <w:szCs w:val="22"/>
          <w:lang w:eastAsia="en-GB"/>
        </w:rPr>
        <w:t xml:space="preserve">s are assisted appropriately according to their specific </w:t>
      </w:r>
      <w:r w:rsidR="00287269">
        <w:rPr>
          <w:sz w:val="22"/>
          <w:szCs w:val="22"/>
          <w:lang w:eastAsia="en-GB"/>
        </w:rPr>
        <w:t>characteristics</w:t>
      </w:r>
      <w:r w:rsidR="00586A79" w:rsidRPr="00EA56BB">
        <w:rPr>
          <w:sz w:val="22"/>
          <w:szCs w:val="22"/>
          <w:lang w:eastAsia="en-GB"/>
        </w:rPr>
        <w:t xml:space="preserve"> (age, maturity, disability, minority ethnic background, </w:t>
      </w:r>
      <w:r w:rsidR="00486729" w:rsidRPr="00EA56BB">
        <w:rPr>
          <w:sz w:val="22"/>
          <w:szCs w:val="22"/>
          <w:lang w:eastAsia="en-GB"/>
        </w:rPr>
        <w:t xml:space="preserve">religion, </w:t>
      </w:r>
      <w:r w:rsidR="00586A79" w:rsidRPr="00EA56BB">
        <w:rPr>
          <w:sz w:val="22"/>
          <w:szCs w:val="22"/>
          <w:lang w:eastAsia="en-GB"/>
        </w:rPr>
        <w:t xml:space="preserve">gender/gender identity etc.) and that they are referred to </w:t>
      </w:r>
      <w:r w:rsidR="00287269">
        <w:rPr>
          <w:sz w:val="22"/>
          <w:szCs w:val="22"/>
          <w:lang w:eastAsia="en-GB"/>
        </w:rPr>
        <w:t xml:space="preserve">a range of </w:t>
      </w:r>
      <w:r w:rsidR="00586A79" w:rsidRPr="00EA56BB">
        <w:rPr>
          <w:sz w:val="22"/>
          <w:szCs w:val="22"/>
          <w:lang w:eastAsia="en-GB"/>
        </w:rPr>
        <w:t>local specialist support services at the start of an investigation including, IDVA support,</w:t>
      </w:r>
      <w:r w:rsidR="00D41548" w:rsidRPr="00EA56BB">
        <w:rPr>
          <w:sz w:val="22"/>
          <w:szCs w:val="22"/>
          <w:lang w:eastAsia="en-GB"/>
        </w:rPr>
        <w:t xml:space="preserve"> BME specialist organisations,</w:t>
      </w:r>
      <w:r w:rsidR="00586A79" w:rsidRPr="00EA56BB">
        <w:rPr>
          <w:sz w:val="22"/>
          <w:szCs w:val="22"/>
          <w:lang w:eastAsia="en-GB"/>
        </w:rPr>
        <w:t xml:space="preserve"> or their equivalent, where available.  </w:t>
      </w:r>
      <w:r w:rsidR="00586A79" w:rsidRPr="00EA56BB">
        <w:rPr>
          <w:bCs/>
          <w:sz w:val="22"/>
          <w:szCs w:val="22"/>
        </w:rPr>
        <w:t xml:space="preserve">A list of support agencies and corresponding help lines can be found within </w:t>
      </w:r>
      <w:hyperlink r:id="rId30" w:anchor="annexa" w:history="1">
        <w:r w:rsidR="009D3D23" w:rsidRPr="00EA56BB">
          <w:rPr>
            <w:rStyle w:val="Hyperlink"/>
            <w:rFonts w:cs="Arial"/>
            <w:bCs/>
            <w:sz w:val="22"/>
            <w:szCs w:val="22"/>
          </w:rPr>
          <w:t>CPS FGM Legal Guidance Annex A</w:t>
        </w:r>
      </w:hyperlink>
      <w:r w:rsidR="00586A79" w:rsidRPr="00EA56BB">
        <w:rPr>
          <w:bCs/>
          <w:sz w:val="22"/>
          <w:szCs w:val="22"/>
        </w:rPr>
        <w:t>.</w:t>
      </w:r>
    </w:p>
    <w:p w:rsidR="00695FB1" w:rsidRPr="00EA56BB" w:rsidRDefault="00695FB1" w:rsidP="00323D1D">
      <w:pPr>
        <w:pStyle w:val="Default"/>
        <w:rPr>
          <w:bCs/>
          <w:sz w:val="22"/>
          <w:szCs w:val="22"/>
        </w:rPr>
      </w:pPr>
    </w:p>
    <w:p w:rsidR="00695FB1" w:rsidRPr="00EA56BB" w:rsidRDefault="00695FB1" w:rsidP="00323D1D">
      <w:pPr>
        <w:pStyle w:val="Default"/>
        <w:rPr>
          <w:bCs/>
          <w:sz w:val="22"/>
          <w:szCs w:val="22"/>
        </w:rPr>
      </w:pPr>
      <w:r w:rsidRPr="00EA56BB">
        <w:rPr>
          <w:bCs/>
          <w:sz w:val="22"/>
          <w:szCs w:val="22"/>
        </w:rPr>
        <w:t xml:space="preserve">9.4 In every case where the police receive a report of possible FGM, a strategy meeting should be convened to discuss risk, safeguarding and investigation. The meeting should include representation from the police, social worker in the local authority with a special interest, safeguarding representatives and community charitable support services, as appropriate. </w:t>
      </w:r>
    </w:p>
    <w:p w:rsidR="00586A79" w:rsidRPr="00EA56BB" w:rsidRDefault="00586A79" w:rsidP="00323D1D">
      <w:pPr>
        <w:pStyle w:val="Default"/>
        <w:rPr>
          <w:bCs/>
          <w:sz w:val="22"/>
          <w:szCs w:val="22"/>
        </w:rPr>
      </w:pPr>
    </w:p>
    <w:p w:rsidR="00586A79" w:rsidRPr="00EA56BB" w:rsidRDefault="00695FB1" w:rsidP="00323D1D">
      <w:pPr>
        <w:pStyle w:val="Default"/>
        <w:rPr>
          <w:bCs/>
          <w:sz w:val="22"/>
          <w:szCs w:val="22"/>
        </w:rPr>
      </w:pPr>
      <w:r w:rsidRPr="00EA56BB">
        <w:rPr>
          <w:bCs/>
          <w:sz w:val="22"/>
          <w:szCs w:val="22"/>
        </w:rPr>
        <w:t>9.5</w:t>
      </w:r>
      <w:r w:rsidR="00586A79" w:rsidRPr="00EA56BB">
        <w:rPr>
          <w:bCs/>
          <w:sz w:val="22"/>
          <w:szCs w:val="22"/>
        </w:rPr>
        <w:t xml:space="preserve"> In every </w:t>
      </w:r>
      <w:r w:rsidRPr="00EA56BB">
        <w:rPr>
          <w:bCs/>
          <w:sz w:val="22"/>
          <w:szCs w:val="22"/>
        </w:rPr>
        <w:t>FGM</w:t>
      </w:r>
      <w:r w:rsidR="00586A79" w:rsidRPr="00EA56BB">
        <w:rPr>
          <w:bCs/>
          <w:sz w:val="22"/>
          <w:szCs w:val="22"/>
        </w:rPr>
        <w:t xml:space="preserve"> case the police will obtain the </w:t>
      </w:r>
      <w:r w:rsidR="007152ED">
        <w:rPr>
          <w:bCs/>
          <w:sz w:val="22"/>
          <w:szCs w:val="22"/>
        </w:rPr>
        <w:t>complainant</w:t>
      </w:r>
      <w:r w:rsidR="00586A79" w:rsidRPr="00EA56BB">
        <w:rPr>
          <w:bCs/>
          <w:sz w:val="22"/>
          <w:szCs w:val="22"/>
        </w:rPr>
        <w:t xml:space="preserve">’s agreement on who is to be their </w:t>
      </w:r>
      <w:r w:rsidR="003210B1" w:rsidRPr="00EA56BB">
        <w:rPr>
          <w:bCs/>
          <w:sz w:val="22"/>
          <w:szCs w:val="22"/>
        </w:rPr>
        <w:t>SPOC</w:t>
      </w:r>
      <w:r w:rsidR="00586A79" w:rsidRPr="00EA56BB">
        <w:rPr>
          <w:bCs/>
          <w:sz w:val="22"/>
          <w:szCs w:val="22"/>
        </w:rPr>
        <w:t xml:space="preserve"> and their preferred means of contact (telephone, text, email or other).  The identity of the SPOC should be shared with the CPS and the Witness Care Unit </w:t>
      </w:r>
      <w:r w:rsidRPr="00EA56BB">
        <w:rPr>
          <w:bCs/>
          <w:sz w:val="22"/>
          <w:szCs w:val="22"/>
        </w:rPr>
        <w:t xml:space="preserve">(WCU) </w:t>
      </w:r>
      <w:r w:rsidR="00586A79" w:rsidRPr="00EA56BB">
        <w:rPr>
          <w:bCs/>
          <w:sz w:val="22"/>
          <w:szCs w:val="22"/>
        </w:rPr>
        <w:t xml:space="preserve">so that it is clear who is responsible for communicating with the </w:t>
      </w:r>
      <w:r w:rsidR="007152ED">
        <w:rPr>
          <w:bCs/>
          <w:sz w:val="22"/>
          <w:szCs w:val="22"/>
        </w:rPr>
        <w:t>complainant</w:t>
      </w:r>
      <w:r w:rsidR="00586A79" w:rsidRPr="00EA56BB">
        <w:rPr>
          <w:bCs/>
          <w:sz w:val="22"/>
          <w:szCs w:val="22"/>
        </w:rPr>
        <w:t xml:space="preserve"> and recording any actions arising.</w:t>
      </w:r>
      <w:r w:rsidR="009B080C" w:rsidRPr="00EA56BB">
        <w:rPr>
          <w:bCs/>
          <w:sz w:val="22"/>
          <w:szCs w:val="22"/>
        </w:rPr>
        <w:t xml:space="preserve">  Thought should be given to succession planning in preparation for </w:t>
      </w:r>
      <w:r w:rsidR="001B6B9B" w:rsidRPr="00EA56BB">
        <w:rPr>
          <w:bCs/>
          <w:sz w:val="22"/>
          <w:szCs w:val="22"/>
        </w:rPr>
        <w:t>when</w:t>
      </w:r>
      <w:r w:rsidR="009B080C" w:rsidRPr="00EA56BB">
        <w:rPr>
          <w:bCs/>
          <w:sz w:val="22"/>
          <w:szCs w:val="22"/>
        </w:rPr>
        <w:t xml:space="preserve"> a SPOC moves on or has any absence from work.</w:t>
      </w:r>
      <w:r w:rsidRPr="00EA56BB">
        <w:rPr>
          <w:bCs/>
          <w:sz w:val="22"/>
          <w:szCs w:val="22"/>
        </w:rPr>
        <w:t xml:space="preserve"> The files of the police, CPS and WCU should be conspicuously marked so that it is clear to all parties who </w:t>
      </w:r>
      <w:proofErr w:type="gramStart"/>
      <w:r w:rsidRPr="00EA56BB">
        <w:rPr>
          <w:bCs/>
          <w:sz w:val="22"/>
          <w:szCs w:val="22"/>
        </w:rPr>
        <w:t>is</w:t>
      </w:r>
      <w:proofErr w:type="gramEnd"/>
      <w:r w:rsidRPr="00EA56BB">
        <w:rPr>
          <w:bCs/>
          <w:sz w:val="22"/>
          <w:szCs w:val="22"/>
        </w:rPr>
        <w:t xml:space="preserve"> responsible for communicating with the </w:t>
      </w:r>
      <w:r w:rsidR="007152ED">
        <w:rPr>
          <w:bCs/>
          <w:sz w:val="22"/>
          <w:szCs w:val="22"/>
        </w:rPr>
        <w:t>complainant</w:t>
      </w:r>
      <w:r w:rsidRPr="00EA56BB">
        <w:rPr>
          <w:bCs/>
          <w:sz w:val="22"/>
          <w:szCs w:val="22"/>
        </w:rPr>
        <w:t xml:space="preserve"> and keeping records of any actions. </w:t>
      </w:r>
    </w:p>
    <w:p w:rsidR="00586A79" w:rsidRPr="00EA56BB" w:rsidRDefault="00586A79" w:rsidP="00323D1D">
      <w:pPr>
        <w:pStyle w:val="Default"/>
        <w:rPr>
          <w:bCs/>
          <w:sz w:val="22"/>
          <w:szCs w:val="22"/>
        </w:rPr>
      </w:pPr>
    </w:p>
    <w:p w:rsidR="009C078E" w:rsidRPr="00EA56BB" w:rsidRDefault="00E0487C" w:rsidP="00B7342A">
      <w:pPr>
        <w:rPr>
          <w:rFonts w:ascii="Arial" w:hAnsi="Arial" w:cs="Arial"/>
        </w:rPr>
      </w:pPr>
      <w:r w:rsidRPr="00EA56BB">
        <w:rPr>
          <w:rFonts w:ascii="Arial" w:hAnsi="Arial" w:cs="Arial"/>
        </w:rPr>
        <w:t>9</w:t>
      </w:r>
      <w:r w:rsidR="00586A79" w:rsidRPr="00EA56BB">
        <w:rPr>
          <w:rFonts w:ascii="Arial" w:hAnsi="Arial" w:cs="Arial"/>
        </w:rPr>
        <w:t>.</w:t>
      </w:r>
      <w:r w:rsidRPr="00EA56BB">
        <w:rPr>
          <w:rFonts w:ascii="Arial" w:hAnsi="Arial" w:cs="Arial"/>
        </w:rPr>
        <w:t>6</w:t>
      </w:r>
      <w:r w:rsidR="00586A79" w:rsidRPr="00EA56BB">
        <w:rPr>
          <w:rFonts w:ascii="Arial" w:hAnsi="Arial" w:cs="Arial"/>
        </w:rPr>
        <w:t xml:space="preserve"> Police officers will explain to </w:t>
      </w:r>
      <w:r w:rsidR="007152ED">
        <w:rPr>
          <w:rFonts w:ascii="Arial" w:hAnsi="Arial" w:cs="Arial"/>
        </w:rPr>
        <w:t>complainant</w:t>
      </w:r>
      <w:r w:rsidR="00586A79" w:rsidRPr="00EA56BB">
        <w:rPr>
          <w:rFonts w:ascii="Arial" w:hAnsi="Arial" w:cs="Arial"/>
        </w:rPr>
        <w:t xml:space="preserve">s and their supporters the available special measures and their advantages and disadvantages, including any potential impact on the proceedings. They will obtain </w:t>
      </w:r>
      <w:r w:rsidRPr="00EA56BB">
        <w:rPr>
          <w:rFonts w:ascii="Arial" w:hAnsi="Arial" w:cs="Arial"/>
        </w:rPr>
        <w:t xml:space="preserve">the </w:t>
      </w:r>
      <w:r w:rsidR="007152ED">
        <w:rPr>
          <w:rFonts w:ascii="Arial" w:hAnsi="Arial" w:cs="Arial"/>
        </w:rPr>
        <w:t>complainant</w:t>
      </w:r>
      <w:r w:rsidR="00586A79" w:rsidRPr="00EA56BB">
        <w:rPr>
          <w:rFonts w:ascii="Arial" w:hAnsi="Arial" w:cs="Arial"/>
        </w:rPr>
        <w:t>’s informed views and</w:t>
      </w:r>
      <w:r w:rsidRPr="00EA56BB">
        <w:rPr>
          <w:rFonts w:ascii="Arial" w:hAnsi="Arial" w:cs="Arial"/>
        </w:rPr>
        <w:t xml:space="preserve"> an early special measures meeting will be held between the IO and the CPS Area FGM Lead to ensure these are considered and inf</w:t>
      </w:r>
      <w:r w:rsidR="00586A79" w:rsidRPr="00EA56BB">
        <w:rPr>
          <w:rFonts w:ascii="Arial" w:hAnsi="Arial" w:cs="Arial"/>
        </w:rPr>
        <w:t>orm any special measures application.</w:t>
      </w:r>
      <w:r w:rsidRPr="00EA56BB">
        <w:rPr>
          <w:rFonts w:ascii="Arial" w:hAnsi="Arial" w:cs="Arial"/>
        </w:rPr>
        <w:t xml:space="preserve"> Prior to this meeting the IO will contact the specialist support service for an update on the </w:t>
      </w:r>
      <w:r w:rsidR="007152ED">
        <w:rPr>
          <w:rFonts w:ascii="Arial" w:hAnsi="Arial" w:cs="Arial"/>
        </w:rPr>
        <w:t>complainant</w:t>
      </w:r>
      <w:r w:rsidRPr="00EA56BB">
        <w:rPr>
          <w:rFonts w:ascii="Arial" w:hAnsi="Arial" w:cs="Arial"/>
        </w:rPr>
        <w:t xml:space="preserve">’s situation and any recent developments. </w:t>
      </w:r>
      <w:r w:rsidR="00586A79" w:rsidRPr="00EA56BB">
        <w:rPr>
          <w:rFonts w:ascii="Arial" w:hAnsi="Arial" w:cs="Arial"/>
        </w:rPr>
        <w:t>Th</w:t>
      </w:r>
      <w:r w:rsidRPr="00EA56BB">
        <w:rPr>
          <w:rFonts w:ascii="Arial" w:hAnsi="Arial" w:cs="Arial"/>
        </w:rPr>
        <w:t>e special measures application</w:t>
      </w:r>
      <w:r w:rsidR="00586A79" w:rsidRPr="00EA56BB">
        <w:rPr>
          <w:rFonts w:ascii="Arial" w:hAnsi="Arial" w:cs="Arial"/>
        </w:rPr>
        <w:t xml:space="preserve"> should inc</w:t>
      </w:r>
      <w:r w:rsidR="00D7302E" w:rsidRPr="00EA56BB">
        <w:rPr>
          <w:rFonts w:ascii="Arial" w:hAnsi="Arial" w:cs="Arial"/>
        </w:rPr>
        <w:t xml:space="preserve">lude the name of any supporter </w:t>
      </w:r>
      <w:r w:rsidR="00586A79" w:rsidRPr="00EA56BB">
        <w:rPr>
          <w:rFonts w:ascii="Arial" w:hAnsi="Arial" w:cs="Arial"/>
        </w:rPr>
        <w:t xml:space="preserve">that the </w:t>
      </w:r>
      <w:r w:rsidR="007152ED">
        <w:rPr>
          <w:rFonts w:ascii="Arial" w:hAnsi="Arial" w:cs="Arial"/>
        </w:rPr>
        <w:t>complainant</w:t>
      </w:r>
      <w:r w:rsidR="00586A79" w:rsidRPr="00EA56BB">
        <w:rPr>
          <w:rFonts w:ascii="Arial" w:hAnsi="Arial" w:cs="Arial"/>
        </w:rPr>
        <w:t xml:space="preserve"> wishes to accompany them in court or a live link room.  The CPS should make applications for special measures, bad character and hearsay evidence at the earliest possible opportunity.</w:t>
      </w:r>
      <w:r w:rsidR="009C078E" w:rsidRPr="00EA56BB">
        <w:rPr>
          <w:rFonts w:ascii="Arial" w:hAnsi="Arial" w:cs="Arial"/>
        </w:rPr>
        <w:t xml:space="preserve">  Police and prosecutors should remind </w:t>
      </w:r>
      <w:r w:rsidR="007152ED">
        <w:rPr>
          <w:rFonts w:ascii="Arial" w:hAnsi="Arial" w:cs="Arial"/>
        </w:rPr>
        <w:t>complainant</w:t>
      </w:r>
      <w:r w:rsidR="009C078E" w:rsidRPr="00EA56BB">
        <w:rPr>
          <w:rFonts w:ascii="Arial" w:hAnsi="Arial" w:cs="Arial"/>
        </w:rPr>
        <w:t>s of the services offered by the Witness Service such as pre-trial familiarisation visits.</w:t>
      </w:r>
    </w:p>
    <w:p w:rsidR="001A5355" w:rsidRPr="00EA56BB" w:rsidRDefault="001A5355" w:rsidP="00B7342A">
      <w:pPr>
        <w:rPr>
          <w:rFonts w:ascii="Arial" w:hAnsi="Arial" w:cs="Arial"/>
        </w:rPr>
      </w:pPr>
    </w:p>
    <w:p w:rsidR="001A5355" w:rsidRPr="00EA56BB" w:rsidRDefault="001A5355" w:rsidP="00B7342A">
      <w:pPr>
        <w:rPr>
          <w:rFonts w:ascii="Arial" w:hAnsi="Arial" w:cs="Arial"/>
        </w:rPr>
      </w:pPr>
      <w:r w:rsidRPr="00EA56BB">
        <w:rPr>
          <w:rFonts w:ascii="Arial" w:hAnsi="Arial" w:cs="Arial"/>
        </w:rPr>
        <w:t xml:space="preserve">9.7 In every FGM prosecution the police and CPS will consider whether a special measures meeting should be held with the witness. </w:t>
      </w:r>
    </w:p>
    <w:p w:rsidR="001A5355" w:rsidRPr="00EA56BB" w:rsidRDefault="001A5355" w:rsidP="00B7342A">
      <w:pPr>
        <w:rPr>
          <w:rFonts w:ascii="Arial" w:hAnsi="Arial" w:cs="Arial"/>
        </w:rPr>
      </w:pPr>
    </w:p>
    <w:p w:rsidR="001A5355" w:rsidRPr="00EA56BB" w:rsidRDefault="001A5355" w:rsidP="001A5355">
      <w:pPr>
        <w:rPr>
          <w:rFonts w:ascii="Arial" w:hAnsi="Arial" w:cs="Arial"/>
        </w:rPr>
      </w:pPr>
      <w:r w:rsidRPr="00EA56BB">
        <w:rPr>
          <w:rFonts w:ascii="Arial" w:hAnsi="Arial" w:cs="Arial"/>
        </w:rPr>
        <w:t xml:space="preserve">9.8 In every FGM prosecution the WCU will arrange a court familiarisation visit for the </w:t>
      </w:r>
      <w:r w:rsidR="007152ED">
        <w:rPr>
          <w:rFonts w:ascii="Arial" w:hAnsi="Arial" w:cs="Arial"/>
        </w:rPr>
        <w:t>complainant</w:t>
      </w:r>
      <w:r w:rsidRPr="00EA56BB">
        <w:rPr>
          <w:rFonts w:ascii="Arial" w:hAnsi="Arial" w:cs="Arial"/>
        </w:rPr>
        <w:t xml:space="preserve">. Where the </w:t>
      </w:r>
      <w:r w:rsidR="007152ED">
        <w:rPr>
          <w:rFonts w:ascii="Arial" w:hAnsi="Arial" w:cs="Arial"/>
        </w:rPr>
        <w:t>complainant</w:t>
      </w:r>
      <w:r w:rsidRPr="00EA56BB">
        <w:rPr>
          <w:rFonts w:ascii="Arial" w:hAnsi="Arial" w:cs="Arial"/>
        </w:rPr>
        <w:t xml:space="preserve"> requires additional assistance such as an interpreter or help in gaining access to the premises due to disability such assistance will be provided. In the interests of the </w:t>
      </w:r>
      <w:r w:rsidR="007152ED">
        <w:rPr>
          <w:rFonts w:ascii="Arial" w:hAnsi="Arial" w:cs="Arial"/>
        </w:rPr>
        <w:t>complainant</w:t>
      </w:r>
      <w:r w:rsidRPr="00EA56BB">
        <w:rPr>
          <w:rFonts w:ascii="Arial" w:hAnsi="Arial" w:cs="Arial"/>
        </w:rPr>
        <w:t xml:space="preserve"> and efficient case management, wherever possible, efforts will be made to coordinate the visit with the conference with counsel and the </w:t>
      </w:r>
      <w:r w:rsidR="007152ED">
        <w:rPr>
          <w:rFonts w:ascii="Arial" w:hAnsi="Arial" w:cs="Arial"/>
        </w:rPr>
        <w:t>complainant</w:t>
      </w:r>
      <w:r w:rsidRPr="00EA56BB">
        <w:rPr>
          <w:rFonts w:ascii="Arial" w:hAnsi="Arial" w:cs="Arial"/>
        </w:rPr>
        <w:t>'s special measures meeting.</w:t>
      </w:r>
    </w:p>
    <w:p w:rsidR="001A5355" w:rsidRPr="00EA56BB" w:rsidRDefault="001A5355" w:rsidP="00B7342A">
      <w:pPr>
        <w:rPr>
          <w:rFonts w:ascii="Arial" w:hAnsi="Arial" w:cs="Arial"/>
        </w:rPr>
      </w:pPr>
    </w:p>
    <w:p w:rsidR="00586A79" w:rsidRPr="00EA56BB" w:rsidRDefault="001A5355" w:rsidP="00323D1D">
      <w:pPr>
        <w:pStyle w:val="Default"/>
        <w:rPr>
          <w:bCs/>
          <w:sz w:val="22"/>
          <w:szCs w:val="22"/>
        </w:rPr>
      </w:pPr>
      <w:r w:rsidRPr="00EA56BB">
        <w:rPr>
          <w:bCs/>
          <w:sz w:val="22"/>
          <w:szCs w:val="22"/>
        </w:rPr>
        <w:t>9</w:t>
      </w:r>
      <w:r w:rsidR="00586A79" w:rsidRPr="00EA56BB">
        <w:rPr>
          <w:bCs/>
          <w:sz w:val="22"/>
          <w:szCs w:val="22"/>
        </w:rPr>
        <w:t>.</w:t>
      </w:r>
      <w:r w:rsidRPr="00EA56BB">
        <w:rPr>
          <w:bCs/>
          <w:sz w:val="22"/>
          <w:szCs w:val="22"/>
        </w:rPr>
        <w:t>9</w:t>
      </w:r>
      <w:r w:rsidR="00586A79" w:rsidRPr="00EA56BB">
        <w:rPr>
          <w:bCs/>
          <w:sz w:val="22"/>
          <w:szCs w:val="22"/>
        </w:rPr>
        <w:t xml:space="preserve"> Where the CPS decision is not to charge</w:t>
      </w:r>
      <w:r w:rsidRPr="00EA56BB">
        <w:rPr>
          <w:bCs/>
          <w:sz w:val="22"/>
          <w:szCs w:val="22"/>
        </w:rPr>
        <w:t>, to reduce a charge</w:t>
      </w:r>
      <w:r w:rsidR="00586A79" w:rsidRPr="00EA56BB">
        <w:rPr>
          <w:bCs/>
          <w:sz w:val="22"/>
          <w:szCs w:val="22"/>
        </w:rPr>
        <w:t xml:space="preserve"> or </w:t>
      </w:r>
      <w:r w:rsidRPr="00EA56BB">
        <w:rPr>
          <w:bCs/>
          <w:sz w:val="22"/>
          <w:szCs w:val="22"/>
        </w:rPr>
        <w:t xml:space="preserve">to </w:t>
      </w:r>
      <w:r w:rsidR="00586A79" w:rsidRPr="00EA56BB">
        <w:rPr>
          <w:bCs/>
          <w:sz w:val="22"/>
          <w:szCs w:val="22"/>
        </w:rPr>
        <w:t xml:space="preserve">end all proceedings in relation to the </w:t>
      </w:r>
      <w:r w:rsidR="007152ED">
        <w:rPr>
          <w:bCs/>
          <w:sz w:val="22"/>
          <w:szCs w:val="22"/>
        </w:rPr>
        <w:t>complainant</w:t>
      </w:r>
      <w:r w:rsidR="00586A79" w:rsidRPr="00EA56BB">
        <w:rPr>
          <w:bCs/>
          <w:sz w:val="22"/>
          <w:szCs w:val="22"/>
        </w:rPr>
        <w:t>,</w:t>
      </w:r>
      <w:r w:rsidRPr="00EA56BB">
        <w:rPr>
          <w:bCs/>
          <w:sz w:val="22"/>
          <w:szCs w:val="22"/>
        </w:rPr>
        <w:t xml:space="preserve"> the police will personally deliver an explanatory letter to the </w:t>
      </w:r>
      <w:r w:rsidR="007152ED">
        <w:rPr>
          <w:bCs/>
          <w:sz w:val="22"/>
          <w:szCs w:val="22"/>
        </w:rPr>
        <w:t>complainant</w:t>
      </w:r>
      <w:r w:rsidRPr="00EA56BB">
        <w:rPr>
          <w:bCs/>
          <w:sz w:val="22"/>
          <w:szCs w:val="22"/>
        </w:rPr>
        <w:t>.</w:t>
      </w:r>
      <w:r w:rsidR="00586A79" w:rsidRPr="00EA56BB">
        <w:rPr>
          <w:bCs/>
          <w:sz w:val="22"/>
          <w:szCs w:val="22"/>
        </w:rPr>
        <w:t xml:space="preserve"> </w:t>
      </w:r>
      <w:r w:rsidRPr="00EA56BB">
        <w:rPr>
          <w:bCs/>
          <w:sz w:val="22"/>
          <w:szCs w:val="22"/>
        </w:rPr>
        <w:t xml:space="preserve">The </w:t>
      </w:r>
      <w:r w:rsidR="007152ED">
        <w:rPr>
          <w:bCs/>
          <w:sz w:val="22"/>
          <w:szCs w:val="22"/>
        </w:rPr>
        <w:t>complainant</w:t>
      </w:r>
      <w:r w:rsidR="00586A79" w:rsidRPr="00EA56BB">
        <w:rPr>
          <w:bCs/>
          <w:sz w:val="22"/>
          <w:szCs w:val="22"/>
        </w:rPr>
        <w:t xml:space="preserve"> should</w:t>
      </w:r>
      <w:r w:rsidRPr="00EA56BB">
        <w:rPr>
          <w:bCs/>
          <w:sz w:val="22"/>
          <w:szCs w:val="22"/>
        </w:rPr>
        <w:t xml:space="preserve"> also</w:t>
      </w:r>
      <w:r w:rsidR="00586A79" w:rsidRPr="00EA56BB">
        <w:rPr>
          <w:bCs/>
          <w:sz w:val="22"/>
          <w:szCs w:val="22"/>
        </w:rPr>
        <w:t xml:space="preserve"> be informed of their right to have the case re-reviewed as part of the </w:t>
      </w:r>
      <w:r w:rsidR="00132C31">
        <w:rPr>
          <w:bCs/>
          <w:sz w:val="22"/>
          <w:szCs w:val="22"/>
        </w:rPr>
        <w:t>Victims</w:t>
      </w:r>
      <w:r w:rsidR="00586A79" w:rsidRPr="00EA56BB">
        <w:rPr>
          <w:bCs/>
          <w:sz w:val="22"/>
          <w:szCs w:val="22"/>
        </w:rPr>
        <w:t xml:space="preserve"> Right to Review (VRR) scheme.</w:t>
      </w:r>
      <w:r w:rsidRPr="00EA56BB">
        <w:rPr>
          <w:bCs/>
          <w:sz w:val="22"/>
          <w:szCs w:val="22"/>
        </w:rPr>
        <w:t xml:space="preserve"> </w:t>
      </w:r>
    </w:p>
    <w:p w:rsidR="00586A79" w:rsidRPr="00EA56BB" w:rsidRDefault="00586A79" w:rsidP="00323D1D">
      <w:pPr>
        <w:pStyle w:val="Default"/>
        <w:rPr>
          <w:b/>
          <w:bCs/>
          <w:i/>
          <w:sz w:val="22"/>
          <w:szCs w:val="22"/>
        </w:rPr>
      </w:pPr>
    </w:p>
    <w:p w:rsidR="00586A79" w:rsidRPr="00EA56BB" w:rsidRDefault="001A5355" w:rsidP="00323D1D">
      <w:pPr>
        <w:pStyle w:val="Default"/>
        <w:rPr>
          <w:sz w:val="22"/>
          <w:szCs w:val="22"/>
        </w:rPr>
      </w:pPr>
      <w:r w:rsidRPr="00EA56BB">
        <w:rPr>
          <w:sz w:val="22"/>
          <w:szCs w:val="22"/>
        </w:rPr>
        <w:t>9</w:t>
      </w:r>
      <w:r w:rsidR="00586A79" w:rsidRPr="00EA56BB">
        <w:rPr>
          <w:sz w:val="22"/>
          <w:szCs w:val="22"/>
        </w:rPr>
        <w:t>.</w:t>
      </w:r>
      <w:r w:rsidRPr="00EA56BB">
        <w:rPr>
          <w:sz w:val="22"/>
          <w:szCs w:val="22"/>
        </w:rPr>
        <w:t>10</w:t>
      </w:r>
      <w:r w:rsidR="00586A79" w:rsidRPr="00EA56BB">
        <w:rPr>
          <w:sz w:val="22"/>
          <w:szCs w:val="22"/>
        </w:rPr>
        <w:t xml:space="preserve"> Police and prosecutors should familiarise themselves with Table 3 of the </w:t>
      </w:r>
      <w:hyperlink r:id="rId31" w:history="1">
        <w:r w:rsidR="003772E4">
          <w:rPr>
            <w:rStyle w:val="Hyperlink"/>
            <w:rFonts w:cs="Arial"/>
            <w:sz w:val="22"/>
            <w:szCs w:val="22"/>
          </w:rPr>
          <w:t>Toolkit for prosecutors on VAWG cases involving vulnerable victims</w:t>
        </w:r>
      </w:hyperlink>
      <w:r w:rsidR="00586A79" w:rsidRPr="00EA56BB">
        <w:rPr>
          <w:sz w:val="22"/>
          <w:szCs w:val="22"/>
        </w:rPr>
        <w:t xml:space="preserve">, which outlines the support that should be given to vulnerable </w:t>
      </w:r>
      <w:r w:rsidR="007152ED">
        <w:rPr>
          <w:sz w:val="22"/>
          <w:szCs w:val="22"/>
        </w:rPr>
        <w:t>complainant</w:t>
      </w:r>
      <w:r w:rsidR="00586A79" w:rsidRPr="00EA56BB">
        <w:rPr>
          <w:sz w:val="22"/>
          <w:szCs w:val="22"/>
        </w:rPr>
        <w:t xml:space="preserve">s throughout the </w:t>
      </w:r>
      <w:r w:rsidR="00F80100" w:rsidRPr="00EA56BB">
        <w:rPr>
          <w:sz w:val="22"/>
          <w:szCs w:val="22"/>
        </w:rPr>
        <w:t>CJS</w:t>
      </w:r>
      <w:r w:rsidR="00586A79" w:rsidRPr="00EA56BB">
        <w:rPr>
          <w:sz w:val="22"/>
          <w:szCs w:val="22"/>
        </w:rPr>
        <w:t>.</w:t>
      </w:r>
    </w:p>
    <w:p w:rsidR="00586A79" w:rsidRPr="00EA56BB" w:rsidRDefault="00586A79" w:rsidP="00323D1D">
      <w:pPr>
        <w:pStyle w:val="Default"/>
        <w:rPr>
          <w:sz w:val="22"/>
          <w:szCs w:val="22"/>
        </w:rPr>
      </w:pPr>
    </w:p>
    <w:p w:rsidR="00586A79" w:rsidRPr="00EA56BB" w:rsidRDefault="001A5355" w:rsidP="00323D1D">
      <w:pPr>
        <w:pStyle w:val="Default"/>
        <w:rPr>
          <w:sz w:val="22"/>
          <w:szCs w:val="22"/>
        </w:rPr>
      </w:pPr>
      <w:r w:rsidRPr="00EA56BB">
        <w:rPr>
          <w:sz w:val="22"/>
          <w:szCs w:val="22"/>
        </w:rPr>
        <w:t>9</w:t>
      </w:r>
      <w:r w:rsidR="00586A79" w:rsidRPr="00EA56BB">
        <w:rPr>
          <w:sz w:val="22"/>
          <w:szCs w:val="22"/>
        </w:rPr>
        <w:t>.</w:t>
      </w:r>
      <w:r w:rsidR="009561BA" w:rsidRPr="00EA56BB">
        <w:rPr>
          <w:sz w:val="22"/>
          <w:szCs w:val="22"/>
        </w:rPr>
        <w:t>11</w:t>
      </w:r>
      <w:r w:rsidR="00586A79" w:rsidRPr="00EA56BB">
        <w:rPr>
          <w:sz w:val="22"/>
          <w:szCs w:val="22"/>
        </w:rPr>
        <w:t xml:space="preserve"> The police will ensure that in every case the </w:t>
      </w:r>
      <w:r w:rsidR="007152ED">
        <w:rPr>
          <w:sz w:val="22"/>
          <w:szCs w:val="22"/>
        </w:rPr>
        <w:t>complainant</w:t>
      </w:r>
      <w:r w:rsidR="00586A79" w:rsidRPr="00EA56BB">
        <w:rPr>
          <w:sz w:val="22"/>
          <w:szCs w:val="22"/>
        </w:rPr>
        <w:t xml:space="preserve"> has the opportunity to provide a </w:t>
      </w:r>
      <w:r w:rsidR="00132C31">
        <w:rPr>
          <w:sz w:val="22"/>
          <w:szCs w:val="22"/>
        </w:rPr>
        <w:t xml:space="preserve">Victim </w:t>
      </w:r>
      <w:r w:rsidR="00586A79" w:rsidRPr="00EA56BB">
        <w:rPr>
          <w:sz w:val="22"/>
          <w:szCs w:val="22"/>
        </w:rPr>
        <w:t xml:space="preserve">Personal Statement (VPS).  In all cases, the VPS and the information about the </w:t>
      </w:r>
      <w:r w:rsidR="007152ED">
        <w:rPr>
          <w:sz w:val="22"/>
          <w:szCs w:val="22"/>
        </w:rPr>
        <w:t>complainant</w:t>
      </w:r>
      <w:r w:rsidR="00586A79" w:rsidRPr="00EA56BB">
        <w:rPr>
          <w:sz w:val="22"/>
          <w:szCs w:val="22"/>
        </w:rPr>
        <w:t xml:space="preserve">’s preference will be relayed to the court at the first hearing by the CPS advocate. </w:t>
      </w:r>
      <w:r w:rsidR="004879C2" w:rsidRPr="00EA56BB">
        <w:rPr>
          <w:sz w:val="22"/>
          <w:szCs w:val="22"/>
        </w:rPr>
        <w:t xml:space="preserve"> The VPS can be read aloud in court by the </w:t>
      </w:r>
      <w:r w:rsidR="007152ED">
        <w:rPr>
          <w:sz w:val="22"/>
          <w:szCs w:val="22"/>
        </w:rPr>
        <w:t>complainant</w:t>
      </w:r>
      <w:r w:rsidR="004879C2" w:rsidRPr="00EA56BB">
        <w:rPr>
          <w:sz w:val="22"/>
          <w:szCs w:val="22"/>
        </w:rPr>
        <w:t xml:space="preserve"> or someone on the </w:t>
      </w:r>
      <w:r w:rsidR="007152ED">
        <w:rPr>
          <w:sz w:val="22"/>
          <w:szCs w:val="22"/>
        </w:rPr>
        <w:t>complainant</w:t>
      </w:r>
      <w:r w:rsidR="004879C2" w:rsidRPr="00EA56BB">
        <w:rPr>
          <w:sz w:val="22"/>
          <w:szCs w:val="22"/>
        </w:rPr>
        <w:t>’s behalf; this decision is at the discretion of the court.</w:t>
      </w:r>
    </w:p>
    <w:p w:rsidR="00586A79" w:rsidRPr="00EA56BB" w:rsidRDefault="00586A79" w:rsidP="00323D1D">
      <w:pPr>
        <w:pStyle w:val="Default"/>
        <w:rPr>
          <w:b/>
          <w:bCs/>
          <w:i/>
          <w:sz w:val="22"/>
          <w:szCs w:val="22"/>
        </w:rPr>
      </w:pPr>
    </w:p>
    <w:p w:rsidR="00586A79" w:rsidRPr="00EA56BB" w:rsidRDefault="001A5355" w:rsidP="00323D1D">
      <w:pPr>
        <w:pStyle w:val="Default"/>
        <w:rPr>
          <w:sz w:val="22"/>
          <w:szCs w:val="22"/>
          <w:lang w:eastAsia="en-GB"/>
        </w:rPr>
      </w:pPr>
      <w:r w:rsidRPr="00EA56BB">
        <w:rPr>
          <w:bCs/>
          <w:sz w:val="22"/>
          <w:szCs w:val="22"/>
        </w:rPr>
        <w:t>9</w:t>
      </w:r>
      <w:r w:rsidR="00586A79" w:rsidRPr="00EA56BB">
        <w:rPr>
          <w:bCs/>
          <w:sz w:val="22"/>
          <w:szCs w:val="22"/>
        </w:rPr>
        <w:t>.</w:t>
      </w:r>
      <w:r w:rsidRPr="00EA56BB">
        <w:rPr>
          <w:bCs/>
          <w:sz w:val="22"/>
          <w:szCs w:val="22"/>
        </w:rPr>
        <w:t>1</w:t>
      </w:r>
      <w:r w:rsidR="009561BA" w:rsidRPr="00EA56BB">
        <w:rPr>
          <w:bCs/>
          <w:sz w:val="22"/>
          <w:szCs w:val="22"/>
        </w:rPr>
        <w:t>2</w:t>
      </w:r>
      <w:r w:rsidR="00586A79" w:rsidRPr="00EA56BB">
        <w:rPr>
          <w:bCs/>
          <w:sz w:val="22"/>
          <w:szCs w:val="22"/>
        </w:rPr>
        <w:t xml:space="preserve"> </w:t>
      </w:r>
      <w:r w:rsidR="00586A79" w:rsidRPr="00EA56BB">
        <w:rPr>
          <w:sz w:val="22"/>
          <w:szCs w:val="22"/>
          <w:lang w:eastAsia="en-GB"/>
        </w:rPr>
        <w:t>When selecting interpreters, care must be taken to ensure that they speak the same language/dialect and where possible are sensitised to issues of gender based violence in BME communities. Experience has led to concerns about interpreters and translators who are not on the approved list and who may often be part of the family or linked to the group suspected of carrying out the crime.</w:t>
      </w:r>
      <w:r w:rsidR="000B2E72" w:rsidRPr="00EA56BB">
        <w:rPr>
          <w:sz w:val="22"/>
          <w:szCs w:val="22"/>
          <w:lang w:eastAsia="en-GB"/>
        </w:rPr>
        <w:t xml:space="preserve">  The selection of the right interpreter is essential given the potential risks for the details of the </w:t>
      </w:r>
      <w:r w:rsidR="007152ED">
        <w:rPr>
          <w:sz w:val="22"/>
          <w:szCs w:val="22"/>
          <w:lang w:eastAsia="en-GB"/>
        </w:rPr>
        <w:t>complainant</w:t>
      </w:r>
      <w:r w:rsidR="000B2E72" w:rsidRPr="00EA56BB">
        <w:rPr>
          <w:sz w:val="22"/>
          <w:szCs w:val="22"/>
          <w:lang w:eastAsia="en-GB"/>
        </w:rPr>
        <w:t xml:space="preserve">’s account to be inappropriately disclosed to the </w:t>
      </w:r>
      <w:r w:rsidR="00121D6D">
        <w:rPr>
          <w:sz w:val="22"/>
          <w:szCs w:val="22"/>
          <w:lang w:eastAsia="en-GB"/>
        </w:rPr>
        <w:t>suspects</w:t>
      </w:r>
      <w:r w:rsidR="000B2E72" w:rsidRPr="00EA56BB">
        <w:rPr>
          <w:sz w:val="22"/>
          <w:szCs w:val="22"/>
          <w:lang w:eastAsia="en-GB"/>
        </w:rPr>
        <w:t xml:space="preserve"> and/or other community members or</w:t>
      </w:r>
      <w:r w:rsidR="00E75C85" w:rsidRPr="00EA56BB">
        <w:rPr>
          <w:sz w:val="22"/>
          <w:szCs w:val="22"/>
          <w:lang w:eastAsia="en-GB"/>
        </w:rPr>
        <w:t xml:space="preserve"> for</w:t>
      </w:r>
      <w:r w:rsidR="000B2E72" w:rsidRPr="00EA56BB">
        <w:rPr>
          <w:sz w:val="22"/>
          <w:szCs w:val="22"/>
          <w:lang w:eastAsia="en-GB"/>
        </w:rPr>
        <w:t xml:space="preserve"> the </w:t>
      </w:r>
      <w:r w:rsidR="007152ED">
        <w:rPr>
          <w:sz w:val="22"/>
          <w:szCs w:val="22"/>
          <w:lang w:eastAsia="en-GB"/>
        </w:rPr>
        <w:t>complainant</w:t>
      </w:r>
      <w:r w:rsidR="00E75C85" w:rsidRPr="00EA56BB">
        <w:rPr>
          <w:sz w:val="22"/>
          <w:szCs w:val="22"/>
          <w:lang w:eastAsia="en-GB"/>
        </w:rPr>
        <w:t xml:space="preserve"> to</w:t>
      </w:r>
      <w:r w:rsidR="000B2E72" w:rsidRPr="00EA56BB">
        <w:rPr>
          <w:sz w:val="22"/>
          <w:szCs w:val="22"/>
          <w:lang w:eastAsia="en-GB"/>
        </w:rPr>
        <w:t xml:space="preserve"> be threatened or intimidated </w:t>
      </w:r>
      <w:r w:rsidR="00E75C85" w:rsidRPr="00EA56BB">
        <w:rPr>
          <w:sz w:val="22"/>
          <w:szCs w:val="22"/>
          <w:lang w:eastAsia="en-GB"/>
        </w:rPr>
        <w:t>by</w:t>
      </w:r>
      <w:r w:rsidR="000B2E72" w:rsidRPr="00EA56BB">
        <w:rPr>
          <w:sz w:val="22"/>
          <w:szCs w:val="22"/>
          <w:lang w:eastAsia="en-GB"/>
        </w:rPr>
        <w:t xml:space="preserve"> the interpreter. </w:t>
      </w:r>
      <w:r w:rsidR="00586A79" w:rsidRPr="00EA56BB">
        <w:rPr>
          <w:sz w:val="22"/>
          <w:szCs w:val="22"/>
          <w:lang w:eastAsia="en-GB"/>
        </w:rPr>
        <w:t xml:space="preserve"> Police and p</w:t>
      </w:r>
      <w:r w:rsidR="00586A79" w:rsidRPr="00EA56BB">
        <w:rPr>
          <w:sz w:val="22"/>
          <w:szCs w:val="22"/>
        </w:rPr>
        <w:t xml:space="preserve">rosecutors should consult </w:t>
      </w:r>
      <w:hyperlink r:id="rId32" w:history="1">
        <w:r w:rsidR="00586A79" w:rsidRPr="00EA56BB">
          <w:rPr>
            <w:rStyle w:val="Hyperlink"/>
            <w:rFonts w:cs="Arial"/>
            <w:sz w:val="22"/>
            <w:szCs w:val="22"/>
          </w:rPr>
          <w:t>CPS guidance on the use of interpreters</w:t>
        </w:r>
      </w:hyperlink>
      <w:r w:rsidR="00586A79" w:rsidRPr="00EA56BB">
        <w:rPr>
          <w:sz w:val="22"/>
          <w:szCs w:val="22"/>
        </w:rPr>
        <w:t>.</w:t>
      </w:r>
    </w:p>
    <w:p w:rsidR="00586A79" w:rsidRPr="00EA56BB" w:rsidRDefault="00586A79" w:rsidP="00323D1D">
      <w:pPr>
        <w:pStyle w:val="Default"/>
        <w:rPr>
          <w:bCs/>
          <w:sz w:val="22"/>
          <w:szCs w:val="22"/>
        </w:rPr>
      </w:pPr>
    </w:p>
    <w:p w:rsidR="00586A79" w:rsidRPr="00EA56BB" w:rsidRDefault="001A5355" w:rsidP="00323D1D">
      <w:pPr>
        <w:pStyle w:val="Default"/>
        <w:rPr>
          <w:bCs/>
          <w:sz w:val="22"/>
          <w:szCs w:val="22"/>
        </w:rPr>
      </w:pPr>
      <w:r w:rsidRPr="00EA56BB">
        <w:rPr>
          <w:sz w:val="22"/>
          <w:szCs w:val="22"/>
        </w:rPr>
        <w:t>9</w:t>
      </w:r>
      <w:r w:rsidR="00586A79" w:rsidRPr="00EA56BB">
        <w:rPr>
          <w:sz w:val="22"/>
          <w:szCs w:val="22"/>
        </w:rPr>
        <w:t>.1</w:t>
      </w:r>
      <w:r w:rsidR="009561BA" w:rsidRPr="00EA56BB">
        <w:rPr>
          <w:sz w:val="22"/>
          <w:szCs w:val="22"/>
        </w:rPr>
        <w:t>3</w:t>
      </w:r>
      <w:r w:rsidR="00586A79" w:rsidRPr="00EA56BB">
        <w:rPr>
          <w:sz w:val="22"/>
          <w:szCs w:val="22"/>
        </w:rPr>
        <w:t xml:space="preserve"> </w:t>
      </w:r>
      <w:r w:rsidR="001B6B9B" w:rsidRPr="00EA56BB">
        <w:rPr>
          <w:sz w:val="22"/>
          <w:szCs w:val="22"/>
        </w:rPr>
        <w:t>I</w:t>
      </w:r>
      <w:r w:rsidR="00586A79" w:rsidRPr="00EA56BB">
        <w:rPr>
          <w:sz w:val="22"/>
          <w:szCs w:val="22"/>
        </w:rPr>
        <w:t>nvestigators</w:t>
      </w:r>
      <w:r w:rsidR="001B6B9B" w:rsidRPr="00EA56BB">
        <w:rPr>
          <w:sz w:val="22"/>
          <w:szCs w:val="22"/>
        </w:rPr>
        <w:t>, prosecutors</w:t>
      </w:r>
      <w:r w:rsidR="00586A79" w:rsidRPr="00EA56BB">
        <w:rPr>
          <w:sz w:val="22"/>
          <w:szCs w:val="22"/>
        </w:rPr>
        <w:t xml:space="preserve"> and </w:t>
      </w:r>
      <w:r w:rsidR="009561BA" w:rsidRPr="00EA56BB">
        <w:rPr>
          <w:caps/>
          <w:sz w:val="22"/>
          <w:szCs w:val="22"/>
        </w:rPr>
        <w:t>WCU</w:t>
      </w:r>
      <w:r w:rsidR="009561BA" w:rsidRPr="00EA56BB">
        <w:rPr>
          <w:sz w:val="22"/>
          <w:szCs w:val="22"/>
        </w:rPr>
        <w:t>s</w:t>
      </w:r>
      <w:r w:rsidR="00586A79" w:rsidRPr="00EA56BB">
        <w:rPr>
          <w:sz w:val="22"/>
          <w:szCs w:val="22"/>
        </w:rPr>
        <w:t xml:space="preserve"> need to know what support agencies are available for </w:t>
      </w:r>
      <w:r w:rsidR="007152ED">
        <w:rPr>
          <w:sz w:val="22"/>
          <w:szCs w:val="22"/>
        </w:rPr>
        <w:t>complainant</w:t>
      </w:r>
      <w:r w:rsidR="00586A79" w:rsidRPr="00EA56BB">
        <w:rPr>
          <w:sz w:val="22"/>
          <w:szCs w:val="22"/>
        </w:rPr>
        <w:t>s within their local area, nationally, and internationally.</w:t>
      </w:r>
      <w:r w:rsidR="00687E5A" w:rsidRPr="00EA56BB">
        <w:rPr>
          <w:sz w:val="22"/>
          <w:szCs w:val="22"/>
        </w:rPr>
        <w:t xml:space="preserve">  </w:t>
      </w:r>
      <w:r w:rsidR="007152ED">
        <w:rPr>
          <w:sz w:val="22"/>
          <w:szCs w:val="22"/>
        </w:rPr>
        <w:t>Complainant</w:t>
      </w:r>
      <w:r w:rsidR="00687E5A" w:rsidRPr="00EA56BB">
        <w:rPr>
          <w:sz w:val="22"/>
          <w:szCs w:val="22"/>
        </w:rPr>
        <w:t>s must always be afforded the oppor</w:t>
      </w:r>
      <w:r w:rsidR="008B03AF" w:rsidRPr="00EA56BB">
        <w:rPr>
          <w:sz w:val="22"/>
          <w:szCs w:val="22"/>
        </w:rPr>
        <w:t>tunity to be referred to specialist VAWG</w:t>
      </w:r>
      <w:r w:rsidR="00687E5A" w:rsidRPr="00EA56BB">
        <w:rPr>
          <w:sz w:val="22"/>
          <w:szCs w:val="22"/>
        </w:rPr>
        <w:t xml:space="preserve"> services and not subject to automatic referral without their consent.</w:t>
      </w:r>
      <w:r w:rsidR="00586A79" w:rsidRPr="00EA56BB">
        <w:rPr>
          <w:sz w:val="22"/>
          <w:szCs w:val="22"/>
        </w:rPr>
        <w:t xml:space="preserve">  </w:t>
      </w:r>
      <w:r w:rsidR="00586A79" w:rsidRPr="00EA56BB">
        <w:rPr>
          <w:bCs/>
          <w:sz w:val="22"/>
          <w:szCs w:val="22"/>
        </w:rPr>
        <w:t xml:space="preserve">The police must endeavour to ensure the </w:t>
      </w:r>
      <w:r w:rsidR="007152ED">
        <w:rPr>
          <w:bCs/>
          <w:sz w:val="22"/>
          <w:szCs w:val="22"/>
        </w:rPr>
        <w:t>complainant</w:t>
      </w:r>
      <w:r w:rsidR="00586A79" w:rsidRPr="00EA56BB">
        <w:rPr>
          <w:bCs/>
          <w:sz w:val="22"/>
          <w:szCs w:val="22"/>
        </w:rPr>
        <w:t xml:space="preserve"> is provided with access to such support</w:t>
      </w:r>
      <w:r w:rsidR="00687E5A" w:rsidRPr="00EA56BB">
        <w:rPr>
          <w:rStyle w:val="FootnoteReference"/>
          <w:rFonts w:cs="Arial"/>
          <w:bCs/>
          <w:sz w:val="22"/>
          <w:szCs w:val="22"/>
        </w:rPr>
        <w:footnoteReference w:id="12"/>
      </w:r>
      <w:r w:rsidR="00586A79" w:rsidRPr="00EA56BB">
        <w:rPr>
          <w:bCs/>
          <w:sz w:val="22"/>
          <w:szCs w:val="22"/>
        </w:rPr>
        <w:t xml:space="preserve">.  Police and prosecutors should refer to the </w:t>
      </w:r>
      <w:hyperlink r:id="rId33" w:history="1">
        <w:r w:rsidR="00586A79" w:rsidRPr="00EA56BB">
          <w:rPr>
            <w:rStyle w:val="Hyperlink"/>
            <w:rFonts w:cs="Arial"/>
            <w:bCs/>
            <w:sz w:val="22"/>
            <w:szCs w:val="22"/>
          </w:rPr>
          <w:t>Domestic Abuse Guidelines for Prosecutors</w:t>
        </w:r>
      </w:hyperlink>
      <w:r w:rsidR="00586A79" w:rsidRPr="00EA56BB">
        <w:rPr>
          <w:bCs/>
          <w:sz w:val="22"/>
          <w:szCs w:val="22"/>
        </w:rPr>
        <w:t xml:space="preserve"> and the </w:t>
      </w:r>
      <w:hyperlink r:id="rId34" w:history="1">
        <w:r w:rsidR="00586A79" w:rsidRPr="00EA56BB">
          <w:rPr>
            <w:rStyle w:val="Hyperlink"/>
            <w:rFonts w:cs="Arial"/>
            <w:bCs/>
            <w:sz w:val="22"/>
            <w:szCs w:val="22"/>
          </w:rPr>
          <w:t>UK Border Agency (UKBA) Website</w:t>
        </w:r>
      </w:hyperlink>
      <w:r w:rsidR="00586A79" w:rsidRPr="00EA56BB">
        <w:rPr>
          <w:bCs/>
          <w:sz w:val="22"/>
          <w:szCs w:val="22"/>
        </w:rPr>
        <w:t>.</w:t>
      </w:r>
    </w:p>
    <w:p w:rsidR="00CD71D6" w:rsidRPr="00EA56BB" w:rsidRDefault="00CD71D6" w:rsidP="00323D1D">
      <w:pPr>
        <w:pStyle w:val="Default"/>
        <w:rPr>
          <w:bCs/>
          <w:sz w:val="22"/>
          <w:szCs w:val="22"/>
        </w:rPr>
      </w:pPr>
    </w:p>
    <w:p w:rsidR="00CD71D6" w:rsidRPr="00EA56BB" w:rsidRDefault="00CD71D6" w:rsidP="00CD71D6">
      <w:pPr>
        <w:pStyle w:val="Default"/>
        <w:rPr>
          <w:bCs/>
          <w:sz w:val="22"/>
          <w:szCs w:val="22"/>
        </w:rPr>
      </w:pPr>
      <w:r w:rsidRPr="00EA56BB">
        <w:rPr>
          <w:bCs/>
          <w:sz w:val="22"/>
          <w:szCs w:val="22"/>
        </w:rPr>
        <w:t xml:space="preserve">9.14 Section 4A of the </w:t>
      </w:r>
      <w:r w:rsidR="00171F93">
        <w:rPr>
          <w:bCs/>
          <w:sz w:val="22"/>
          <w:szCs w:val="22"/>
        </w:rPr>
        <w:t>2003 Act</w:t>
      </w:r>
      <w:r w:rsidRPr="00EA56BB">
        <w:rPr>
          <w:bCs/>
          <w:sz w:val="22"/>
          <w:szCs w:val="22"/>
        </w:rPr>
        <w:t xml:space="preserve"> makes provision for the anonymity of </w:t>
      </w:r>
      <w:r w:rsidR="007152ED">
        <w:rPr>
          <w:bCs/>
          <w:sz w:val="22"/>
          <w:szCs w:val="22"/>
        </w:rPr>
        <w:t>complainant</w:t>
      </w:r>
      <w:r w:rsidRPr="00EA56BB">
        <w:rPr>
          <w:bCs/>
          <w:sz w:val="22"/>
          <w:szCs w:val="22"/>
        </w:rPr>
        <w:t xml:space="preserve">s of FGM. The effect of these provisions is to prohibit the publication of any matter that would be likely to lead members of the public to identify a person as the alleged </w:t>
      </w:r>
      <w:r w:rsidR="007152ED">
        <w:rPr>
          <w:bCs/>
          <w:sz w:val="22"/>
          <w:szCs w:val="22"/>
        </w:rPr>
        <w:t>complainant</w:t>
      </w:r>
      <w:r w:rsidRPr="00EA56BB">
        <w:rPr>
          <w:bCs/>
          <w:sz w:val="22"/>
          <w:szCs w:val="22"/>
        </w:rPr>
        <w:t xml:space="preserve"> of any offence under the </w:t>
      </w:r>
      <w:r w:rsidR="00171F93">
        <w:rPr>
          <w:bCs/>
          <w:sz w:val="22"/>
          <w:szCs w:val="22"/>
        </w:rPr>
        <w:t>2003 Act</w:t>
      </w:r>
      <w:r w:rsidRPr="00EA56BB">
        <w:rPr>
          <w:bCs/>
          <w:sz w:val="22"/>
          <w:szCs w:val="22"/>
        </w:rPr>
        <w:t xml:space="preserve">. Anonymity will commence once an allegation has been made and will last for the duration of the </w:t>
      </w:r>
      <w:r w:rsidR="007152ED">
        <w:rPr>
          <w:bCs/>
          <w:sz w:val="22"/>
          <w:szCs w:val="22"/>
        </w:rPr>
        <w:t>complainant</w:t>
      </w:r>
      <w:r w:rsidRPr="00EA56BB">
        <w:rPr>
          <w:bCs/>
          <w:sz w:val="22"/>
          <w:szCs w:val="22"/>
        </w:rPr>
        <w:t xml:space="preserve">’s lifetime. The prohibition covers immediate identifying information, such as name, address, and photograph of the </w:t>
      </w:r>
      <w:r w:rsidR="007152ED">
        <w:rPr>
          <w:bCs/>
          <w:sz w:val="22"/>
          <w:szCs w:val="22"/>
        </w:rPr>
        <w:t>complainant</w:t>
      </w:r>
      <w:r w:rsidRPr="00EA56BB">
        <w:rPr>
          <w:bCs/>
          <w:sz w:val="22"/>
          <w:szCs w:val="22"/>
        </w:rPr>
        <w:t xml:space="preserve">, but also any other information which, whether on its own or pieced together with other information, could lead members of the public to identify the </w:t>
      </w:r>
      <w:r w:rsidR="007152ED">
        <w:rPr>
          <w:bCs/>
          <w:sz w:val="22"/>
          <w:szCs w:val="22"/>
        </w:rPr>
        <w:t>complainant</w:t>
      </w:r>
      <w:r w:rsidRPr="00EA56BB">
        <w:rPr>
          <w:bCs/>
          <w:sz w:val="22"/>
          <w:szCs w:val="22"/>
        </w:rPr>
        <w:t xml:space="preserve">. Please refer to the </w:t>
      </w:r>
      <w:hyperlink r:id="rId35" w:history="1">
        <w:r w:rsidRPr="00EA56BB">
          <w:rPr>
            <w:rStyle w:val="Hyperlink"/>
            <w:rFonts w:cs="Arial"/>
            <w:bCs/>
            <w:sz w:val="22"/>
            <w:szCs w:val="22"/>
          </w:rPr>
          <w:t>CPS FGM Legal Guidance</w:t>
        </w:r>
      </w:hyperlink>
      <w:r w:rsidRPr="00EA56BB">
        <w:rPr>
          <w:bCs/>
          <w:sz w:val="22"/>
          <w:szCs w:val="22"/>
        </w:rPr>
        <w:t xml:space="preserve"> for further information. </w:t>
      </w:r>
    </w:p>
    <w:p w:rsidR="00381C46" w:rsidRPr="00EA56BB" w:rsidRDefault="00381C46" w:rsidP="00417EEF">
      <w:pPr>
        <w:rPr>
          <w:rFonts w:ascii="Arial" w:hAnsi="Arial" w:cs="Arial"/>
          <w:b/>
          <w:bCs/>
        </w:rPr>
      </w:pPr>
    </w:p>
    <w:p w:rsidR="00586A79" w:rsidRPr="00EA56BB" w:rsidRDefault="009561BA" w:rsidP="00417EEF">
      <w:pPr>
        <w:rPr>
          <w:rFonts w:ascii="Arial" w:hAnsi="Arial" w:cs="Arial"/>
        </w:rPr>
      </w:pPr>
      <w:bookmarkStart w:id="10" w:name="Section10"/>
      <w:r w:rsidRPr="00EA56BB">
        <w:rPr>
          <w:rFonts w:ascii="Arial" w:hAnsi="Arial" w:cs="Arial"/>
          <w:b/>
          <w:bCs/>
        </w:rPr>
        <w:t>10</w:t>
      </w:r>
      <w:r w:rsidR="00586A79" w:rsidRPr="00EA56BB">
        <w:rPr>
          <w:rFonts w:ascii="Arial" w:hAnsi="Arial" w:cs="Arial"/>
          <w:b/>
          <w:bCs/>
        </w:rPr>
        <w:t xml:space="preserve">. SECTION </w:t>
      </w:r>
      <w:r w:rsidRPr="00EA56BB">
        <w:rPr>
          <w:rFonts w:ascii="Arial" w:hAnsi="Arial" w:cs="Arial"/>
          <w:b/>
          <w:bCs/>
        </w:rPr>
        <w:t>10</w:t>
      </w:r>
      <w:r w:rsidR="00586A79" w:rsidRPr="00EA56BB">
        <w:rPr>
          <w:rFonts w:ascii="Arial" w:hAnsi="Arial" w:cs="Arial"/>
          <w:b/>
          <w:bCs/>
        </w:rPr>
        <w:t xml:space="preserve"> </w:t>
      </w:r>
      <w:bookmarkEnd w:id="10"/>
      <w:r w:rsidR="00586A79" w:rsidRPr="00EA56BB">
        <w:rPr>
          <w:rFonts w:ascii="Arial" w:hAnsi="Arial" w:cs="Arial"/>
          <w:b/>
          <w:bCs/>
        </w:rPr>
        <w:t xml:space="preserve">– TRIAL </w:t>
      </w:r>
    </w:p>
    <w:p w:rsidR="00586A79" w:rsidRPr="00EA56BB" w:rsidRDefault="00586A79" w:rsidP="00417EEF">
      <w:pPr>
        <w:rPr>
          <w:rFonts w:ascii="Arial" w:hAnsi="Arial" w:cs="Arial"/>
        </w:rPr>
      </w:pPr>
    </w:p>
    <w:p w:rsidR="00EB5F46" w:rsidRPr="00EA56BB" w:rsidRDefault="00EB5F46" w:rsidP="00417EEF">
      <w:pPr>
        <w:rPr>
          <w:rFonts w:ascii="Arial" w:hAnsi="Arial" w:cs="Arial"/>
        </w:rPr>
      </w:pPr>
      <w:r w:rsidRPr="00EA56BB">
        <w:rPr>
          <w:rFonts w:ascii="Arial" w:hAnsi="Arial" w:cs="Arial"/>
        </w:rPr>
        <w:t>10.1 The CPS will select an advocate with the necessary skills and expertise to prosecute every FGM case whether from the CPS Panel of approved advocates from the self-employed Bar or from within the service.</w:t>
      </w:r>
    </w:p>
    <w:p w:rsidR="00EB5F46" w:rsidRPr="00EA56BB" w:rsidRDefault="00EB5F46" w:rsidP="00417EEF">
      <w:pPr>
        <w:rPr>
          <w:rFonts w:ascii="Arial" w:hAnsi="Arial" w:cs="Arial"/>
        </w:rPr>
      </w:pPr>
    </w:p>
    <w:p w:rsidR="00EB5F46" w:rsidRPr="00EA56BB" w:rsidRDefault="00EB5F46" w:rsidP="00417EEF">
      <w:pPr>
        <w:rPr>
          <w:rFonts w:ascii="Arial" w:hAnsi="Arial" w:cs="Arial"/>
        </w:rPr>
      </w:pPr>
      <w:r w:rsidRPr="00EA56BB">
        <w:rPr>
          <w:rFonts w:ascii="Arial" w:hAnsi="Arial" w:cs="Arial"/>
        </w:rPr>
        <w:t xml:space="preserve">10.2 </w:t>
      </w:r>
      <w:r w:rsidR="00A75DDE" w:rsidRPr="00EA56BB">
        <w:rPr>
          <w:rFonts w:ascii="Arial" w:hAnsi="Arial" w:cs="Arial"/>
        </w:rPr>
        <w:t xml:space="preserve">The trial advocate will attend the </w:t>
      </w:r>
      <w:r w:rsidR="00C7508C" w:rsidRPr="00EA56BB">
        <w:rPr>
          <w:rFonts w:ascii="Arial" w:hAnsi="Arial" w:cs="Arial"/>
        </w:rPr>
        <w:t>p</w:t>
      </w:r>
      <w:r w:rsidR="00C7508C">
        <w:rPr>
          <w:rFonts w:ascii="Arial" w:hAnsi="Arial" w:cs="Arial"/>
        </w:rPr>
        <w:t xml:space="preserve">re-trial preparation </w:t>
      </w:r>
      <w:r w:rsidR="00A75DDE" w:rsidRPr="00EA56BB">
        <w:rPr>
          <w:rFonts w:ascii="Arial" w:hAnsi="Arial" w:cs="Arial"/>
        </w:rPr>
        <w:t xml:space="preserve">hearing save in exceptional circumstances, reasons to be recorded on the file. </w:t>
      </w:r>
    </w:p>
    <w:p w:rsidR="00EB5F46" w:rsidRPr="00EA56BB" w:rsidRDefault="00EB5F46" w:rsidP="00417EEF">
      <w:pPr>
        <w:rPr>
          <w:rFonts w:ascii="Arial" w:hAnsi="Arial" w:cs="Arial"/>
        </w:rPr>
      </w:pPr>
    </w:p>
    <w:p w:rsidR="00586A79" w:rsidRPr="00EA56BB" w:rsidRDefault="00A75DDE" w:rsidP="00417EEF">
      <w:pPr>
        <w:rPr>
          <w:rFonts w:ascii="Arial" w:hAnsi="Arial" w:cs="Arial"/>
        </w:rPr>
      </w:pPr>
      <w:r w:rsidRPr="00EA56BB">
        <w:rPr>
          <w:rFonts w:ascii="Arial" w:hAnsi="Arial" w:cs="Arial"/>
        </w:rPr>
        <w:t>10</w:t>
      </w:r>
      <w:r w:rsidR="00586A79" w:rsidRPr="00EA56BB">
        <w:rPr>
          <w:rFonts w:ascii="Arial" w:hAnsi="Arial" w:cs="Arial"/>
        </w:rPr>
        <w:t>.</w:t>
      </w:r>
      <w:r w:rsidRPr="00EA56BB">
        <w:rPr>
          <w:rFonts w:ascii="Arial" w:hAnsi="Arial" w:cs="Arial"/>
        </w:rPr>
        <w:t>3</w:t>
      </w:r>
      <w:r w:rsidR="00586A79" w:rsidRPr="00EA56BB">
        <w:rPr>
          <w:rFonts w:ascii="Arial" w:hAnsi="Arial" w:cs="Arial"/>
        </w:rPr>
        <w:t xml:space="preserve"> Prosecutors should </w:t>
      </w:r>
      <w:r w:rsidRPr="00EA56BB">
        <w:rPr>
          <w:rFonts w:ascii="Arial" w:hAnsi="Arial" w:cs="Arial"/>
        </w:rPr>
        <w:t xml:space="preserve">remind the advocate to </w:t>
      </w:r>
      <w:r w:rsidR="00586A79" w:rsidRPr="00EA56BB">
        <w:rPr>
          <w:rFonts w:ascii="Arial" w:hAnsi="Arial" w:cs="Arial"/>
        </w:rPr>
        <w:t>familiarise themselves with the</w:t>
      </w:r>
      <w:r w:rsidR="00D7302E" w:rsidRPr="00EA56BB">
        <w:rPr>
          <w:rFonts w:ascii="Arial" w:hAnsi="Arial" w:cs="Arial"/>
        </w:rPr>
        <w:t xml:space="preserve"> </w:t>
      </w:r>
      <w:hyperlink r:id="rId36" w:history="1">
        <w:r w:rsidR="00D7302E" w:rsidRPr="00EA56BB">
          <w:rPr>
            <w:rStyle w:val="Hyperlink"/>
            <w:rFonts w:ascii="Arial" w:hAnsi="Arial" w:cs="Arial"/>
          </w:rPr>
          <w:t xml:space="preserve">CPS Speaking to Witnesses at Court Guidance </w:t>
        </w:r>
      </w:hyperlink>
      <w:r w:rsidR="00D7302E" w:rsidRPr="00EA56BB">
        <w:rPr>
          <w:rFonts w:ascii="Arial" w:hAnsi="Arial" w:cs="Arial"/>
        </w:rPr>
        <w:t xml:space="preserve"> </w:t>
      </w:r>
      <w:r w:rsidR="00586A79" w:rsidRPr="00EA56BB">
        <w:rPr>
          <w:rFonts w:ascii="Arial" w:hAnsi="Arial" w:cs="Arial"/>
        </w:rPr>
        <w:t xml:space="preserve">which emphasises the need to ensure witnesses are properly assisted and know more about what to expect before they give their evidence.  It sets out what is expected of prosecution advocates, outlining what they can and cannot say to witnesses and explaining the difference between assisting a witness to be better able to deal with the rigors of giving evidence and witness coaching.  </w:t>
      </w:r>
    </w:p>
    <w:p w:rsidR="00586A79" w:rsidRPr="00EA56BB" w:rsidRDefault="00586A79" w:rsidP="00417EEF">
      <w:pPr>
        <w:rPr>
          <w:rFonts w:ascii="Arial" w:hAnsi="Arial" w:cs="Arial"/>
        </w:rPr>
      </w:pPr>
    </w:p>
    <w:p w:rsidR="00586A79" w:rsidRPr="00EA56BB" w:rsidRDefault="00E9111D" w:rsidP="008D10F4">
      <w:pPr>
        <w:rPr>
          <w:rFonts w:ascii="Arial" w:hAnsi="Arial" w:cs="Arial"/>
          <w:color w:val="000000"/>
          <w:lang w:val="en-US"/>
        </w:rPr>
      </w:pPr>
      <w:r w:rsidRPr="00EA56BB">
        <w:rPr>
          <w:rFonts w:ascii="Arial" w:hAnsi="Arial" w:cs="Arial"/>
        </w:rPr>
        <w:t>10.4</w:t>
      </w:r>
      <w:r w:rsidR="00586A79" w:rsidRPr="00EA56BB">
        <w:rPr>
          <w:rFonts w:ascii="Arial" w:hAnsi="Arial" w:cs="Arial"/>
        </w:rPr>
        <w:t xml:space="preserve"> </w:t>
      </w:r>
      <w:r w:rsidR="00586A79" w:rsidRPr="00EA56BB">
        <w:rPr>
          <w:rFonts w:ascii="Arial" w:hAnsi="Arial" w:cs="Arial"/>
          <w:color w:val="000000"/>
        </w:rPr>
        <w:t xml:space="preserve">Also agreed, as part of its implementation, is a roles and responsibilities document which sets out the roles and responsibilities of all agencies which support </w:t>
      </w:r>
      <w:r w:rsidR="007152ED">
        <w:rPr>
          <w:rFonts w:ascii="Arial" w:hAnsi="Arial" w:cs="Arial"/>
          <w:color w:val="000000"/>
        </w:rPr>
        <w:t>complainant</w:t>
      </w:r>
      <w:r w:rsidR="00586A79" w:rsidRPr="00EA56BB">
        <w:rPr>
          <w:rFonts w:ascii="Arial" w:hAnsi="Arial" w:cs="Arial"/>
          <w:color w:val="000000"/>
        </w:rPr>
        <w:t xml:space="preserve">s and witnesses at court.  </w:t>
      </w:r>
      <w:r w:rsidR="00586A79" w:rsidRPr="00EA56BB">
        <w:rPr>
          <w:rFonts w:ascii="Arial" w:hAnsi="Arial" w:cs="Arial"/>
          <w:color w:val="000000"/>
          <w:lang w:val="en-US"/>
        </w:rPr>
        <w:t xml:space="preserve">Each CPS Area should have discussed this document with local CJS partners as part of national implementation of the CPS guidance.  The document may have been tailored to suit local practices, as such please ensure </w:t>
      </w:r>
      <w:r w:rsidR="00EE4515" w:rsidRPr="00EA56BB">
        <w:rPr>
          <w:rFonts w:ascii="Arial" w:hAnsi="Arial" w:cs="Arial"/>
          <w:color w:val="000000"/>
          <w:lang w:val="en-US"/>
        </w:rPr>
        <w:t>the</w:t>
      </w:r>
      <w:r w:rsidR="00586A79" w:rsidRPr="00EA56BB">
        <w:rPr>
          <w:rFonts w:ascii="Arial" w:hAnsi="Arial" w:cs="Arial"/>
          <w:color w:val="000000"/>
          <w:lang w:val="en-US"/>
        </w:rPr>
        <w:t xml:space="preserve"> </w:t>
      </w:r>
      <w:r w:rsidR="00F509A1" w:rsidRPr="00EA56BB">
        <w:rPr>
          <w:rFonts w:ascii="Arial" w:hAnsi="Arial" w:cs="Arial"/>
          <w:color w:val="000000"/>
          <w:u w:val="single"/>
          <w:lang w:val="en-US"/>
        </w:rPr>
        <w:t>local</w:t>
      </w:r>
      <w:r w:rsidR="00F509A1" w:rsidRPr="00EA56BB">
        <w:rPr>
          <w:rFonts w:ascii="Arial" w:hAnsi="Arial" w:cs="Arial"/>
          <w:color w:val="000000"/>
          <w:lang w:val="en-US"/>
        </w:rPr>
        <w:t xml:space="preserve"> </w:t>
      </w:r>
      <w:r w:rsidR="00586A79" w:rsidRPr="00EA56BB">
        <w:rPr>
          <w:rFonts w:ascii="Arial" w:hAnsi="Arial" w:cs="Arial"/>
          <w:color w:val="000000"/>
          <w:lang w:val="en-US"/>
        </w:rPr>
        <w:t>Roles and Responsibilities document</w:t>
      </w:r>
      <w:r w:rsidR="00EE4515" w:rsidRPr="00EA56BB">
        <w:rPr>
          <w:rFonts w:ascii="Arial" w:hAnsi="Arial" w:cs="Arial"/>
          <w:color w:val="000000"/>
          <w:lang w:val="en-US"/>
        </w:rPr>
        <w:t xml:space="preserve"> is referred to</w:t>
      </w:r>
      <w:r w:rsidR="00586A79" w:rsidRPr="00EA56BB">
        <w:rPr>
          <w:rFonts w:ascii="Arial" w:hAnsi="Arial" w:cs="Arial"/>
          <w:color w:val="000000"/>
          <w:lang w:val="en-US"/>
        </w:rPr>
        <w:t xml:space="preserve">. </w:t>
      </w:r>
    </w:p>
    <w:p w:rsidR="00586A79" w:rsidRPr="00EA56BB" w:rsidRDefault="00586A79" w:rsidP="00417EEF">
      <w:pPr>
        <w:rPr>
          <w:rFonts w:ascii="Arial" w:hAnsi="Arial" w:cs="Arial"/>
        </w:rPr>
      </w:pPr>
    </w:p>
    <w:p w:rsidR="00586A79" w:rsidRPr="00EA56BB" w:rsidRDefault="00E9111D" w:rsidP="00417EEF">
      <w:pPr>
        <w:rPr>
          <w:rFonts w:ascii="Arial" w:hAnsi="Arial" w:cs="Arial"/>
        </w:rPr>
      </w:pPr>
      <w:r w:rsidRPr="00EA56BB">
        <w:rPr>
          <w:rFonts w:ascii="Arial" w:hAnsi="Arial" w:cs="Arial"/>
        </w:rPr>
        <w:t>10.5</w:t>
      </w:r>
      <w:r w:rsidR="00586A79" w:rsidRPr="00EA56BB">
        <w:rPr>
          <w:rFonts w:ascii="Arial" w:hAnsi="Arial" w:cs="Arial"/>
        </w:rPr>
        <w:t xml:space="preserve"> The prosecuting advocate will introduce themselves to the </w:t>
      </w:r>
      <w:r w:rsidR="007152ED">
        <w:rPr>
          <w:rFonts w:ascii="Arial" w:hAnsi="Arial" w:cs="Arial"/>
        </w:rPr>
        <w:t>complainant</w:t>
      </w:r>
      <w:r w:rsidR="00586A79" w:rsidRPr="00EA56BB">
        <w:rPr>
          <w:rFonts w:ascii="Arial" w:hAnsi="Arial" w:cs="Arial"/>
        </w:rPr>
        <w:t xml:space="preserve"> at court prior to the commencement of the trial. This is especially important if a special measures meeting with the </w:t>
      </w:r>
      <w:r w:rsidR="007152ED">
        <w:rPr>
          <w:rFonts w:ascii="Arial" w:hAnsi="Arial" w:cs="Arial"/>
        </w:rPr>
        <w:t>complainant</w:t>
      </w:r>
      <w:r w:rsidR="00586A79" w:rsidRPr="00EA56BB">
        <w:rPr>
          <w:rFonts w:ascii="Arial" w:hAnsi="Arial" w:cs="Arial"/>
        </w:rPr>
        <w:t xml:space="preserve"> has not taken place.   Prosecutors should be aware of the potential for the witness to feel further </w:t>
      </w:r>
      <w:r w:rsidR="00132C31">
        <w:rPr>
          <w:rFonts w:ascii="Arial" w:hAnsi="Arial" w:cs="Arial"/>
        </w:rPr>
        <w:t>victim</w:t>
      </w:r>
      <w:r w:rsidR="00586A79" w:rsidRPr="00EA56BB">
        <w:rPr>
          <w:rFonts w:ascii="Arial" w:hAnsi="Arial" w:cs="Arial"/>
        </w:rPr>
        <w:t>ised and/or traumatised and, to minimise this, should ensure that witnesses feel valued and involved in the court process. Particular care needs to be taken to make sure they understand what will happen in court.</w:t>
      </w:r>
    </w:p>
    <w:p w:rsidR="00586A79" w:rsidRPr="00EA56BB" w:rsidRDefault="00586A79" w:rsidP="00417EEF">
      <w:pPr>
        <w:rPr>
          <w:rFonts w:ascii="Arial" w:hAnsi="Arial" w:cs="Arial"/>
          <w:highlight w:val="yellow"/>
        </w:rPr>
      </w:pPr>
    </w:p>
    <w:p w:rsidR="00586A79" w:rsidRPr="00EA56BB" w:rsidRDefault="005B49CF" w:rsidP="00417EEF">
      <w:pPr>
        <w:rPr>
          <w:rFonts w:ascii="Arial" w:hAnsi="Arial" w:cs="Arial"/>
        </w:rPr>
      </w:pPr>
      <w:r w:rsidRPr="00EA56BB">
        <w:rPr>
          <w:rFonts w:ascii="Arial" w:hAnsi="Arial" w:cs="Arial"/>
        </w:rPr>
        <w:t>10.6</w:t>
      </w:r>
      <w:r w:rsidR="00586A79" w:rsidRPr="00EA56BB">
        <w:rPr>
          <w:rFonts w:ascii="Arial" w:hAnsi="Arial" w:cs="Arial"/>
        </w:rPr>
        <w:t xml:space="preserve"> Witnesses should be reassured that the prosecution can object to intrusive/irrelevant cross-examination and the judge will decide whether the questions need be answered. The witness should be advised that the judge’s decision must be followed.</w:t>
      </w:r>
    </w:p>
    <w:p w:rsidR="00586A79" w:rsidRPr="00EA56BB" w:rsidRDefault="00586A79" w:rsidP="00417EEF">
      <w:pPr>
        <w:rPr>
          <w:rFonts w:ascii="Arial" w:hAnsi="Arial" w:cs="Arial"/>
          <w:highlight w:val="yellow"/>
        </w:rPr>
      </w:pPr>
    </w:p>
    <w:p w:rsidR="00586A79" w:rsidRPr="00EA56BB" w:rsidRDefault="005B49CF" w:rsidP="00417EEF">
      <w:pPr>
        <w:rPr>
          <w:rFonts w:ascii="Arial" w:hAnsi="Arial" w:cs="Arial"/>
        </w:rPr>
      </w:pPr>
      <w:r w:rsidRPr="00EA56BB">
        <w:rPr>
          <w:rFonts w:ascii="Arial" w:hAnsi="Arial" w:cs="Arial"/>
        </w:rPr>
        <w:t>10.7</w:t>
      </w:r>
      <w:r w:rsidR="00586A79" w:rsidRPr="00EA56BB">
        <w:rPr>
          <w:rFonts w:ascii="Arial" w:hAnsi="Arial" w:cs="Arial"/>
        </w:rPr>
        <w:t xml:space="preserve"> If a decision is taken at court to offer no evidence or accept a lesser plea the views of the </w:t>
      </w:r>
      <w:r w:rsidR="007152ED">
        <w:rPr>
          <w:rFonts w:ascii="Arial" w:hAnsi="Arial" w:cs="Arial"/>
        </w:rPr>
        <w:t>complainant</w:t>
      </w:r>
      <w:r w:rsidR="00586A79" w:rsidRPr="00EA56BB">
        <w:rPr>
          <w:rFonts w:ascii="Arial" w:hAnsi="Arial" w:cs="Arial"/>
        </w:rPr>
        <w:t xml:space="preserve"> will be taken into account before a final decision is reached and the advocate will speak to the </w:t>
      </w:r>
      <w:r w:rsidR="007152ED">
        <w:rPr>
          <w:rFonts w:ascii="Arial" w:hAnsi="Arial" w:cs="Arial"/>
        </w:rPr>
        <w:t>complainant</w:t>
      </w:r>
      <w:r w:rsidR="00586A79" w:rsidRPr="00EA56BB">
        <w:rPr>
          <w:rFonts w:ascii="Arial" w:hAnsi="Arial" w:cs="Arial"/>
        </w:rPr>
        <w:t xml:space="preserve"> directly or indirectly through an interpreter/an appointed person e.g. </w:t>
      </w:r>
      <w:r w:rsidR="00575514" w:rsidRPr="00EA56BB">
        <w:rPr>
          <w:rFonts w:ascii="Arial" w:hAnsi="Arial" w:cs="Arial"/>
        </w:rPr>
        <w:t>specialist support service</w:t>
      </w:r>
      <w:r w:rsidR="00586A79" w:rsidRPr="00EA56BB">
        <w:rPr>
          <w:rFonts w:ascii="Arial" w:hAnsi="Arial" w:cs="Arial"/>
        </w:rPr>
        <w:t xml:space="preserve">, to explain the issues surrounding the decision. </w:t>
      </w:r>
    </w:p>
    <w:p w:rsidR="00586A79" w:rsidRPr="00EA56BB" w:rsidRDefault="00586A79" w:rsidP="00417EEF">
      <w:pPr>
        <w:rPr>
          <w:rFonts w:ascii="Arial" w:hAnsi="Arial" w:cs="Arial"/>
        </w:rPr>
      </w:pPr>
    </w:p>
    <w:p w:rsidR="00586A79" w:rsidRPr="00EA56BB" w:rsidRDefault="00F34DE3" w:rsidP="00417EEF">
      <w:pPr>
        <w:rPr>
          <w:rFonts w:ascii="Arial" w:hAnsi="Arial" w:cs="Arial"/>
          <w:b/>
          <w:bCs/>
        </w:rPr>
      </w:pPr>
      <w:bookmarkStart w:id="11" w:name="Section11"/>
      <w:r w:rsidRPr="00EA56BB">
        <w:rPr>
          <w:rFonts w:ascii="Arial" w:hAnsi="Arial" w:cs="Arial"/>
          <w:b/>
          <w:bCs/>
        </w:rPr>
        <w:t>11</w:t>
      </w:r>
      <w:r w:rsidR="00586A79" w:rsidRPr="00EA56BB">
        <w:rPr>
          <w:rFonts w:ascii="Arial" w:hAnsi="Arial" w:cs="Arial"/>
          <w:b/>
          <w:bCs/>
        </w:rPr>
        <w:t>. SECTION 1</w:t>
      </w:r>
      <w:r w:rsidRPr="00EA56BB">
        <w:rPr>
          <w:rFonts w:ascii="Arial" w:hAnsi="Arial" w:cs="Arial"/>
          <w:b/>
          <w:bCs/>
        </w:rPr>
        <w:t>1</w:t>
      </w:r>
      <w:r w:rsidR="00586A79" w:rsidRPr="00EA56BB">
        <w:rPr>
          <w:rFonts w:ascii="Arial" w:hAnsi="Arial" w:cs="Arial"/>
          <w:b/>
          <w:bCs/>
        </w:rPr>
        <w:t xml:space="preserve"> </w:t>
      </w:r>
      <w:bookmarkEnd w:id="11"/>
      <w:r w:rsidR="00586A79" w:rsidRPr="00EA56BB">
        <w:rPr>
          <w:rFonts w:ascii="Arial" w:hAnsi="Arial" w:cs="Arial"/>
          <w:b/>
          <w:bCs/>
        </w:rPr>
        <w:t xml:space="preserve">– SHARING LESSONS LEARNT </w:t>
      </w:r>
    </w:p>
    <w:p w:rsidR="00586A79" w:rsidRPr="00EA56BB" w:rsidRDefault="00586A79" w:rsidP="00417EEF">
      <w:pPr>
        <w:rPr>
          <w:rFonts w:ascii="Arial" w:hAnsi="Arial" w:cs="Arial"/>
          <w:b/>
          <w:bCs/>
        </w:rPr>
      </w:pPr>
    </w:p>
    <w:p w:rsidR="00586A79" w:rsidRPr="00EA56BB" w:rsidRDefault="00586A79" w:rsidP="00095D31">
      <w:pPr>
        <w:rPr>
          <w:rFonts w:ascii="Arial" w:hAnsi="Arial" w:cs="Arial"/>
          <w:bCs/>
        </w:rPr>
      </w:pPr>
      <w:r w:rsidRPr="00EA56BB">
        <w:rPr>
          <w:rFonts w:ascii="Arial" w:hAnsi="Arial" w:cs="Arial"/>
          <w:bCs/>
        </w:rPr>
        <w:t>1</w:t>
      </w:r>
      <w:r w:rsidR="00F34DE3" w:rsidRPr="00EA56BB">
        <w:rPr>
          <w:rFonts w:ascii="Arial" w:hAnsi="Arial" w:cs="Arial"/>
          <w:bCs/>
        </w:rPr>
        <w:t>1</w:t>
      </w:r>
      <w:r w:rsidRPr="00EA56BB">
        <w:rPr>
          <w:rFonts w:ascii="Arial" w:hAnsi="Arial" w:cs="Arial"/>
          <w:bCs/>
        </w:rPr>
        <w:t xml:space="preserve">.1 Both </w:t>
      </w:r>
      <w:r w:rsidR="00F80100" w:rsidRPr="00EA56BB">
        <w:rPr>
          <w:rFonts w:ascii="Arial" w:hAnsi="Arial" w:cs="Arial"/>
          <w:bCs/>
        </w:rPr>
        <w:t xml:space="preserve">the local police and </w:t>
      </w:r>
      <w:r w:rsidRPr="00EA56BB">
        <w:rPr>
          <w:rFonts w:ascii="Arial" w:hAnsi="Arial" w:cs="Arial"/>
          <w:bCs/>
        </w:rPr>
        <w:t xml:space="preserve">CPS will monitor these cases and provide feedback about good practice and areas for improvement through </w:t>
      </w:r>
      <w:r w:rsidR="00A67227" w:rsidRPr="00EA56BB">
        <w:rPr>
          <w:rFonts w:ascii="Arial" w:hAnsi="Arial" w:cs="Arial"/>
          <w:bCs/>
        </w:rPr>
        <w:t>an agreed frequency of</w:t>
      </w:r>
      <w:r w:rsidRPr="00EA56BB">
        <w:rPr>
          <w:rFonts w:ascii="Arial" w:hAnsi="Arial" w:cs="Arial"/>
          <w:bCs/>
        </w:rPr>
        <w:t xml:space="preserve"> meetings between the </w:t>
      </w:r>
      <w:r w:rsidR="00F80100" w:rsidRPr="00EA56BB">
        <w:rPr>
          <w:rFonts w:ascii="Arial" w:hAnsi="Arial" w:cs="Arial"/>
          <w:bCs/>
        </w:rPr>
        <w:t>p</w:t>
      </w:r>
      <w:r w:rsidRPr="00EA56BB">
        <w:rPr>
          <w:rFonts w:ascii="Arial" w:hAnsi="Arial" w:cs="Arial"/>
          <w:bCs/>
        </w:rPr>
        <w:t>olice and the CPS lead. This inf</w:t>
      </w:r>
      <w:r w:rsidR="00D822CF" w:rsidRPr="00EA56BB">
        <w:rPr>
          <w:rFonts w:ascii="Arial" w:hAnsi="Arial" w:cs="Arial"/>
          <w:bCs/>
        </w:rPr>
        <w:t xml:space="preserve">ormation will then be passed </w:t>
      </w:r>
      <w:r w:rsidRPr="00EA56BB">
        <w:rPr>
          <w:rFonts w:ascii="Arial" w:hAnsi="Arial" w:cs="Arial"/>
          <w:bCs/>
        </w:rPr>
        <w:t xml:space="preserve">to the </w:t>
      </w:r>
      <w:r w:rsidR="003006FD" w:rsidRPr="00EA56BB">
        <w:rPr>
          <w:rFonts w:ascii="Arial" w:hAnsi="Arial" w:cs="Arial"/>
          <w:bCs/>
        </w:rPr>
        <w:t xml:space="preserve">CPS </w:t>
      </w:r>
      <w:r w:rsidR="00F407B7" w:rsidRPr="00EA56BB">
        <w:rPr>
          <w:rFonts w:ascii="Arial" w:hAnsi="Arial" w:cs="Arial"/>
          <w:bCs/>
        </w:rPr>
        <w:t>FGM</w:t>
      </w:r>
      <w:r w:rsidR="003006FD" w:rsidRPr="00EA56BB">
        <w:rPr>
          <w:rFonts w:ascii="Arial" w:hAnsi="Arial" w:cs="Arial"/>
          <w:bCs/>
        </w:rPr>
        <w:t xml:space="preserve"> </w:t>
      </w:r>
      <w:r w:rsidRPr="00EA56BB">
        <w:rPr>
          <w:rFonts w:ascii="Arial" w:hAnsi="Arial" w:cs="Arial"/>
          <w:bCs/>
        </w:rPr>
        <w:t xml:space="preserve">Operational Policy </w:t>
      </w:r>
      <w:r w:rsidR="00731331" w:rsidRPr="00EA56BB">
        <w:rPr>
          <w:rFonts w:ascii="Arial" w:hAnsi="Arial" w:cs="Arial"/>
          <w:bCs/>
        </w:rPr>
        <w:t>L</w:t>
      </w:r>
      <w:r w:rsidR="003006FD" w:rsidRPr="00EA56BB">
        <w:rPr>
          <w:rFonts w:ascii="Arial" w:hAnsi="Arial" w:cs="Arial"/>
          <w:bCs/>
        </w:rPr>
        <w:t>ead</w:t>
      </w:r>
      <w:r w:rsidR="00F407B7" w:rsidRPr="00EA56BB">
        <w:rPr>
          <w:rFonts w:ascii="Arial" w:hAnsi="Arial" w:cs="Arial"/>
          <w:bCs/>
        </w:rPr>
        <w:t xml:space="preserve"> through the monthly teleconferences</w:t>
      </w:r>
      <w:r w:rsidRPr="00EA56BB">
        <w:rPr>
          <w:rFonts w:ascii="Arial" w:hAnsi="Arial" w:cs="Arial"/>
          <w:bCs/>
        </w:rPr>
        <w:t xml:space="preserve">.  </w:t>
      </w:r>
    </w:p>
    <w:p w:rsidR="00586A79" w:rsidRPr="00EA56BB" w:rsidRDefault="00586A79" w:rsidP="00095D31">
      <w:pPr>
        <w:rPr>
          <w:rFonts w:ascii="Arial" w:hAnsi="Arial" w:cs="Arial"/>
          <w:bCs/>
        </w:rPr>
      </w:pPr>
    </w:p>
    <w:p w:rsidR="00586A79" w:rsidRPr="00EA56BB" w:rsidRDefault="00586A79" w:rsidP="00095D31">
      <w:pPr>
        <w:rPr>
          <w:rFonts w:ascii="Arial" w:hAnsi="Arial" w:cs="Arial"/>
          <w:bCs/>
        </w:rPr>
      </w:pPr>
      <w:r w:rsidRPr="00EA56BB">
        <w:rPr>
          <w:rFonts w:ascii="Arial" w:hAnsi="Arial" w:cs="Arial"/>
          <w:bCs/>
        </w:rPr>
        <w:t>1</w:t>
      </w:r>
      <w:r w:rsidR="00F34DE3" w:rsidRPr="00EA56BB">
        <w:rPr>
          <w:rFonts w:ascii="Arial" w:hAnsi="Arial" w:cs="Arial"/>
          <w:bCs/>
        </w:rPr>
        <w:t>1</w:t>
      </w:r>
      <w:r w:rsidRPr="00EA56BB">
        <w:rPr>
          <w:rFonts w:ascii="Arial" w:hAnsi="Arial" w:cs="Arial"/>
          <w:bCs/>
        </w:rPr>
        <w:t>.2 Where appropriate lessons learnt should also be shared with local specialist support agencies either through existing forums or by arranging ad-hoc meetings.</w:t>
      </w:r>
    </w:p>
    <w:p w:rsidR="00586A79" w:rsidRPr="00EA56BB" w:rsidRDefault="00586A79" w:rsidP="00417EEF">
      <w:pPr>
        <w:rPr>
          <w:rFonts w:ascii="Arial" w:hAnsi="Arial" w:cs="Arial"/>
          <w:b/>
          <w:bCs/>
        </w:rPr>
      </w:pPr>
    </w:p>
    <w:p w:rsidR="00586A79" w:rsidRPr="00EA56BB" w:rsidRDefault="00586A79" w:rsidP="00417EEF">
      <w:pPr>
        <w:rPr>
          <w:rFonts w:ascii="Arial" w:hAnsi="Arial" w:cs="Arial"/>
        </w:rPr>
      </w:pPr>
      <w:bookmarkStart w:id="12" w:name="Section12"/>
      <w:r w:rsidRPr="00EA56BB">
        <w:rPr>
          <w:rFonts w:ascii="Arial" w:hAnsi="Arial" w:cs="Arial"/>
          <w:b/>
          <w:bCs/>
        </w:rPr>
        <w:t>1</w:t>
      </w:r>
      <w:r w:rsidR="00F34DE3" w:rsidRPr="00EA56BB">
        <w:rPr>
          <w:rFonts w:ascii="Arial" w:hAnsi="Arial" w:cs="Arial"/>
          <w:b/>
          <w:bCs/>
        </w:rPr>
        <w:t>2</w:t>
      </w:r>
      <w:r w:rsidRPr="00EA56BB">
        <w:rPr>
          <w:rFonts w:ascii="Arial" w:hAnsi="Arial" w:cs="Arial"/>
          <w:b/>
          <w:bCs/>
        </w:rPr>
        <w:t>. SECTION 1</w:t>
      </w:r>
      <w:r w:rsidR="00F34DE3" w:rsidRPr="00EA56BB">
        <w:rPr>
          <w:rFonts w:ascii="Arial" w:hAnsi="Arial" w:cs="Arial"/>
          <w:b/>
          <w:bCs/>
        </w:rPr>
        <w:t>2</w:t>
      </w:r>
      <w:r w:rsidRPr="00EA56BB">
        <w:rPr>
          <w:rFonts w:ascii="Arial" w:hAnsi="Arial" w:cs="Arial"/>
          <w:b/>
          <w:bCs/>
        </w:rPr>
        <w:t xml:space="preserve"> </w:t>
      </w:r>
      <w:bookmarkEnd w:id="12"/>
      <w:r w:rsidRPr="00EA56BB">
        <w:rPr>
          <w:rFonts w:ascii="Arial" w:hAnsi="Arial" w:cs="Arial"/>
          <w:b/>
          <w:bCs/>
        </w:rPr>
        <w:t xml:space="preserve">– SIGNATORIES </w:t>
      </w:r>
    </w:p>
    <w:p w:rsidR="00586A79" w:rsidRPr="00EA56BB" w:rsidRDefault="00586A79" w:rsidP="00EA2F70">
      <w:pPr>
        <w:rPr>
          <w:rFonts w:ascii="Arial" w:hAnsi="Arial" w:cs="Arial"/>
        </w:rPr>
      </w:pPr>
    </w:p>
    <w:p w:rsidR="00EA56BB" w:rsidRPr="00EA56BB" w:rsidRDefault="00586A79">
      <w:pPr>
        <w:rPr>
          <w:rFonts w:ascii="Arial" w:hAnsi="Arial" w:cs="Arial"/>
        </w:rPr>
      </w:pPr>
      <w:r w:rsidRPr="00EA56BB">
        <w:rPr>
          <w:rFonts w:ascii="Arial" w:hAnsi="Arial" w:cs="Arial"/>
        </w:rPr>
        <w:t>1</w:t>
      </w:r>
      <w:r w:rsidR="00F34DE3" w:rsidRPr="00EA56BB">
        <w:rPr>
          <w:rFonts w:ascii="Arial" w:hAnsi="Arial" w:cs="Arial"/>
        </w:rPr>
        <w:t>2</w:t>
      </w:r>
      <w:r w:rsidRPr="00EA56BB">
        <w:rPr>
          <w:rFonts w:ascii="Arial" w:hAnsi="Arial" w:cs="Arial"/>
        </w:rPr>
        <w:t xml:space="preserve">.1 This protocol will take effect in respect of all </w:t>
      </w:r>
      <w:r w:rsidR="00F34DE3" w:rsidRPr="00EA56BB">
        <w:rPr>
          <w:rFonts w:ascii="Arial" w:hAnsi="Arial" w:cs="Arial"/>
        </w:rPr>
        <w:t xml:space="preserve">FGM </w:t>
      </w:r>
      <w:r w:rsidRPr="00EA56BB">
        <w:rPr>
          <w:rFonts w:ascii="Arial" w:hAnsi="Arial" w:cs="Arial"/>
        </w:rPr>
        <w:t>investigations and prosecutions commencing on or after XXXX.</w:t>
      </w:r>
    </w:p>
    <w:sectPr w:rsidR="00EA56BB" w:rsidRPr="00EA56BB" w:rsidSect="00E219A3">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ED" w:rsidRDefault="007152ED" w:rsidP="00C65090">
      <w:r>
        <w:separator/>
      </w:r>
    </w:p>
  </w:endnote>
  <w:endnote w:type="continuationSeparator" w:id="0">
    <w:p w:rsidR="007152ED" w:rsidRDefault="007152ED" w:rsidP="00C6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70129"/>
      <w:docPartObj>
        <w:docPartGallery w:val="Page Numbers (Bottom of Page)"/>
        <w:docPartUnique/>
      </w:docPartObj>
    </w:sdtPr>
    <w:sdtEndPr>
      <w:rPr>
        <w:noProof/>
        <w:sz w:val="18"/>
        <w:szCs w:val="18"/>
      </w:rPr>
    </w:sdtEndPr>
    <w:sdtContent>
      <w:p w:rsidR="007152ED" w:rsidRPr="00602903" w:rsidRDefault="007152ED">
        <w:pPr>
          <w:pStyle w:val="Footer"/>
          <w:jc w:val="right"/>
          <w:rPr>
            <w:sz w:val="18"/>
            <w:szCs w:val="18"/>
          </w:rPr>
        </w:pPr>
        <w:r w:rsidRPr="00602903">
          <w:rPr>
            <w:sz w:val="18"/>
            <w:szCs w:val="18"/>
          </w:rPr>
          <w:fldChar w:fldCharType="begin"/>
        </w:r>
        <w:r w:rsidRPr="00602903">
          <w:rPr>
            <w:sz w:val="18"/>
            <w:szCs w:val="18"/>
          </w:rPr>
          <w:instrText xml:space="preserve"> PAGE   \* MERGEFORMAT </w:instrText>
        </w:r>
        <w:r w:rsidRPr="00602903">
          <w:rPr>
            <w:sz w:val="18"/>
            <w:szCs w:val="18"/>
          </w:rPr>
          <w:fldChar w:fldCharType="separate"/>
        </w:r>
        <w:r w:rsidR="008D04B0">
          <w:rPr>
            <w:noProof/>
            <w:sz w:val="18"/>
            <w:szCs w:val="18"/>
          </w:rPr>
          <w:t>16</w:t>
        </w:r>
        <w:r w:rsidRPr="00602903">
          <w:rPr>
            <w:noProof/>
            <w:sz w:val="18"/>
            <w:szCs w:val="18"/>
          </w:rPr>
          <w:fldChar w:fldCharType="end"/>
        </w:r>
      </w:p>
    </w:sdtContent>
  </w:sdt>
  <w:p w:rsidR="007152ED" w:rsidRDefault="00715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ED" w:rsidRDefault="007152ED" w:rsidP="00C65090">
      <w:r>
        <w:separator/>
      </w:r>
    </w:p>
  </w:footnote>
  <w:footnote w:type="continuationSeparator" w:id="0">
    <w:p w:rsidR="007152ED" w:rsidRDefault="007152ED" w:rsidP="00C65090">
      <w:r>
        <w:continuationSeparator/>
      </w:r>
    </w:p>
  </w:footnote>
  <w:footnote w:id="1">
    <w:p w:rsidR="007152ED" w:rsidRPr="001B5786" w:rsidRDefault="007152ED">
      <w:pPr>
        <w:pStyle w:val="FootnoteText"/>
        <w:rPr>
          <w:rFonts w:ascii="Arial" w:hAnsi="Arial" w:cs="Arial"/>
          <w:sz w:val="18"/>
          <w:szCs w:val="18"/>
        </w:rPr>
      </w:pPr>
      <w:r w:rsidRPr="001B5786">
        <w:rPr>
          <w:rStyle w:val="FootnoteReference"/>
          <w:rFonts w:ascii="Arial" w:hAnsi="Arial" w:cs="Arial"/>
          <w:sz w:val="18"/>
          <w:szCs w:val="18"/>
        </w:rPr>
        <w:footnoteRef/>
      </w:r>
      <w:r w:rsidRPr="001B5786">
        <w:rPr>
          <w:rFonts w:ascii="Arial" w:hAnsi="Arial" w:cs="Arial"/>
          <w:sz w:val="18"/>
          <w:szCs w:val="18"/>
        </w:rPr>
        <w:t xml:space="preserve"> </w:t>
      </w:r>
      <w:r>
        <w:rPr>
          <w:rFonts w:ascii="Arial" w:hAnsi="Arial" w:cs="Arial"/>
          <w:sz w:val="18"/>
          <w:szCs w:val="18"/>
        </w:rPr>
        <w:t>VAWG</w:t>
      </w:r>
      <w:r w:rsidRPr="001B5786">
        <w:rPr>
          <w:rFonts w:ascii="Arial" w:hAnsi="Arial" w:cs="Arial"/>
          <w:sz w:val="18"/>
          <w:szCs w:val="18"/>
        </w:rPr>
        <w:t xml:space="preserve"> is the most widespread form of abuse worldwide, affecting on average one third of all women globally in their lifetime</w:t>
      </w:r>
      <w:r>
        <w:rPr>
          <w:rFonts w:ascii="Arial" w:hAnsi="Arial" w:cs="Arial"/>
          <w:sz w:val="18"/>
          <w:szCs w:val="18"/>
        </w:rPr>
        <w:t xml:space="preserve"> (WHO, MSC and LSHTM, </w:t>
      </w:r>
      <w:r w:rsidRPr="001B5786">
        <w:rPr>
          <w:rFonts w:ascii="Arial" w:hAnsi="Arial" w:cs="Arial"/>
          <w:sz w:val="18"/>
          <w:szCs w:val="18"/>
        </w:rPr>
        <w:t>2013)</w:t>
      </w:r>
      <w:r>
        <w:rPr>
          <w:rFonts w:ascii="Arial" w:hAnsi="Arial" w:cs="Arial"/>
          <w:sz w:val="18"/>
          <w:szCs w:val="18"/>
        </w:rPr>
        <w:t>.</w:t>
      </w:r>
      <w:r w:rsidRPr="001B5786">
        <w:rPr>
          <w:rFonts w:ascii="Arial" w:hAnsi="Arial" w:cs="Arial"/>
          <w:sz w:val="18"/>
          <w:szCs w:val="18"/>
        </w:rPr>
        <w:t xml:space="preserve">  </w:t>
      </w:r>
    </w:p>
  </w:footnote>
  <w:footnote w:id="2">
    <w:p w:rsidR="007152ED" w:rsidRPr="00325DC7" w:rsidRDefault="007152ED">
      <w:pPr>
        <w:pStyle w:val="FootnoteText"/>
        <w:rPr>
          <w:rFonts w:ascii="Arial" w:hAnsi="Arial" w:cs="Arial"/>
          <w:sz w:val="18"/>
          <w:szCs w:val="18"/>
        </w:rPr>
      </w:pPr>
      <w:r w:rsidRPr="00325DC7">
        <w:rPr>
          <w:rStyle w:val="FootnoteReference"/>
          <w:rFonts w:ascii="Arial" w:hAnsi="Arial" w:cs="Arial"/>
          <w:sz w:val="18"/>
          <w:szCs w:val="18"/>
        </w:rPr>
        <w:footnoteRef/>
      </w:r>
      <w:r w:rsidRPr="00325DC7">
        <w:rPr>
          <w:rFonts w:ascii="Arial" w:hAnsi="Arial" w:cs="Arial"/>
          <w:sz w:val="18"/>
          <w:szCs w:val="18"/>
        </w:rPr>
        <w:t xml:space="preserve"> In 2003, the UN published </w:t>
      </w:r>
      <w:r>
        <w:rPr>
          <w:rFonts w:ascii="Arial" w:hAnsi="Arial" w:cs="Arial"/>
          <w:sz w:val="18"/>
          <w:szCs w:val="18"/>
        </w:rPr>
        <w:t xml:space="preserve">reference: </w:t>
      </w:r>
      <w:hyperlink r:id="rId1" w:history="1">
        <w:r w:rsidRPr="005F3C28">
          <w:rPr>
            <w:rStyle w:val="Hyperlink"/>
            <w:rFonts w:ascii="Arial" w:hAnsi="Arial" w:cs="Arial"/>
            <w:sz w:val="18"/>
            <w:szCs w:val="18"/>
          </w:rPr>
          <w:t>http://www.ohchr.org/Documents/Issues/Women/15YearReviewofVAWMandate.pdf</w:t>
        </w:r>
      </w:hyperlink>
    </w:p>
  </w:footnote>
  <w:footnote w:id="3">
    <w:p w:rsidR="007152ED" w:rsidRPr="005A7AEC" w:rsidRDefault="007152ED" w:rsidP="00BB4270">
      <w:pPr>
        <w:pStyle w:val="FootnoteText"/>
        <w:rPr>
          <w:sz w:val="18"/>
          <w:szCs w:val="18"/>
        </w:rPr>
      </w:pPr>
      <w:r w:rsidRPr="005A7AEC">
        <w:rPr>
          <w:rStyle w:val="FootnoteReference"/>
          <w:sz w:val="18"/>
          <w:szCs w:val="18"/>
        </w:rPr>
        <w:footnoteRef/>
      </w:r>
      <w:r w:rsidRPr="005A7AEC">
        <w:rPr>
          <w:sz w:val="18"/>
          <w:szCs w:val="18"/>
        </w:rPr>
        <w:t xml:space="preserve"> Other than in the excepted circumstances set out in sections 1(2) and (3), it is an offence for </w:t>
      </w:r>
      <w:r w:rsidRPr="005A7AEC">
        <w:rPr>
          <w:b/>
          <w:bCs/>
          <w:sz w:val="18"/>
          <w:szCs w:val="18"/>
        </w:rPr>
        <w:t xml:space="preserve">any person (regardless of their nationality or residence status) </w:t>
      </w:r>
      <w:r w:rsidRPr="005A7AEC">
        <w:rPr>
          <w:sz w:val="18"/>
          <w:szCs w:val="18"/>
        </w:rPr>
        <w:t xml:space="preserve">to: perform FGM </w:t>
      </w:r>
      <w:r w:rsidRPr="005A7AEC">
        <w:rPr>
          <w:b/>
          <w:bCs/>
          <w:sz w:val="18"/>
          <w:szCs w:val="18"/>
        </w:rPr>
        <w:t xml:space="preserve">in England or Wales </w:t>
      </w:r>
      <w:r w:rsidRPr="005A7AEC">
        <w:rPr>
          <w:sz w:val="18"/>
          <w:szCs w:val="18"/>
        </w:rPr>
        <w:t xml:space="preserve">(section 1 of the 2003 Act); assist a girl to carry out FGM on herself </w:t>
      </w:r>
      <w:r w:rsidRPr="005A7AEC">
        <w:rPr>
          <w:b/>
          <w:bCs/>
          <w:sz w:val="18"/>
          <w:szCs w:val="18"/>
        </w:rPr>
        <w:t xml:space="preserve">in England or Wales </w:t>
      </w:r>
      <w:r w:rsidRPr="005A7AEC">
        <w:rPr>
          <w:sz w:val="18"/>
          <w:szCs w:val="18"/>
        </w:rPr>
        <w:t xml:space="preserve">(section 2 of the 2003 Act); and </w:t>
      </w:r>
    </w:p>
    <w:p w:rsidR="007152ED" w:rsidRPr="005A7AEC" w:rsidRDefault="007152ED" w:rsidP="00BB4270">
      <w:pPr>
        <w:pStyle w:val="FootnoteText"/>
        <w:rPr>
          <w:sz w:val="18"/>
          <w:szCs w:val="18"/>
        </w:rPr>
      </w:pPr>
      <w:proofErr w:type="gramStart"/>
      <w:r w:rsidRPr="005A7AEC">
        <w:rPr>
          <w:sz w:val="18"/>
          <w:szCs w:val="18"/>
        </w:rPr>
        <w:t>assist</w:t>
      </w:r>
      <w:proofErr w:type="gramEnd"/>
      <w:r w:rsidRPr="005A7AEC">
        <w:rPr>
          <w:sz w:val="18"/>
          <w:szCs w:val="18"/>
        </w:rPr>
        <w:t xml:space="preserve"> (</w:t>
      </w:r>
      <w:r w:rsidRPr="005A7AEC">
        <w:rPr>
          <w:b/>
          <w:bCs/>
          <w:sz w:val="18"/>
          <w:szCs w:val="18"/>
        </w:rPr>
        <w:t>from England or Wales</w:t>
      </w:r>
      <w:r w:rsidRPr="005A7AEC">
        <w:rPr>
          <w:sz w:val="18"/>
          <w:szCs w:val="18"/>
        </w:rPr>
        <w:t xml:space="preserve">) a non-UK national or UK resident to carry out FGM outside the UK on a </w:t>
      </w:r>
      <w:r w:rsidRPr="005A7AEC">
        <w:rPr>
          <w:b/>
          <w:bCs/>
          <w:sz w:val="18"/>
          <w:szCs w:val="18"/>
        </w:rPr>
        <w:t xml:space="preserve">UK national or UK resident20 </w:t>
      </w:r>
      <w:r w:rsidRPr="005A7AEC">
        <w:rPr>
          <w:sz w:val="18"/>
          <w:szCs w:val="18"/>
        </w:rPr>
        <w:t xml:space="preserve">(section 3 of the 2003 Act). </w:t>
      </w:r>
    </w:p>
    <w:p w:rsidR="007152ED" w:rsidRDefault="007152ED">
      <w:pPr>
        <w:pStyle w:val="FootnoteText"/>
      </w:pPr>
    </w:p>
  </w:footnote>
  <w:footnote w:id="4">
    <w:p w:rsidR="007152ED" w:rsidRPr="009E14BE" w:rsidRDefault="007152ED" w:rsidP="00240EF2">
      <w:pPr>
        <w:pStyle w:val="FootnoteText"/>
        <w:rPr>
          <w:rFonts w:ascii="Arial" w:hAnsi="Arial" w:cs="Arial"/>
          <w:sz w:val="18"/>
          <w:szCs w:val="18"/>
        </w:rPr>
      </w:pPr>
      <w:r w:rsidRPr="009E14BE">
        <w:rPr>
          <w:rStyle w:val="FootnoteReference"/>
          <w:rFonts w:ascii="Arial" w:hAnsi="Arial" w:cs="Arial"/>
          <w:sz w:val="18"/>
          <w:szCs w:val="18"/>
        </w:rPr>
        <w:footnoteRef/>
      </w:r>
      <w:r w:rsidRPr="009E14BE">
        <w:rPr>
          <w:rFonts w:ascii="Arial" w:hAnsi="Arial" w:cs="Arial"/>
          <w:sz w:val="18"/>
          <w:szCs w:val="18"/>
        </w:rPr>
        <w:t xml:space="preserve"> This includes the specific offence of </w:t>
      </w:r>
      <w:hyperlink r:id="rId2" w:history="1">
        <w:r w:rsidRPr="009E14BE">
          <w:rPr>
            <w:rStyle w:val="Hyperlink"/>
            <w:rFonts w:ascii="Arial" w:hAnsi="Arial" w:cs="Arial"/>
            <w:sz w:val="18"/>
            <w:szCs w:val="18"/>
          </w:rPr>
          <w:t xml:space="preserve">controlling or coercive behaviour in </w:t>
        </w:r>
        <w:r w:rsidRPr="009E14BE">
          <w:rPr>
            <w:rStyle w:val="Hyperlink"/>
            <w:rFonts w:ascii="Arial" w:hAnsi="Arial" w:cs="Arial"/>
            <w:sz w:val="18"/>
            <w:szCs w:val="18"/>
          </w:rPr>
          <w:t>an intimate or family relationship.</w:t>
        </w:r>
      </w:hyperlink>
    </w:p>
  </w:footnote>
  <w:footnote w:id="5">
    <w:p w:rsidR="00D860D9" w:rsidRPr="00CF3EEB" w:rsidRDefault="00D860D9" w:rsidP="00D860D9">
      <w:pPr>
        <w:pStyle w:val="FootnoteText"/>
        <w:rPr>
          <w:rFonts w:ascii="Arial" w:hAnsi="Arial" w:cs="Arial"/>
          <w:sz w:val="18"/>
          <w:szCs w:val="18"/>
        </w:rPr>
      </w:pPr>
      <w:r w:rsidRPr="00CF3EEB">
        <w:rPr>
          <w:rStyle w:val="FootnoteReference"/>
          <w:rFonts w:ascii="Arial" w:hAnsi="Arial" w:cs="Arial"/>
          <w:sz w:val="18"/>
          <w:szCs w:val="18"/>
        </w:rPr>
        <w:footnoteRef/>
      </w:r>
      <w:r w:rsidRPr="00CF3EEB">
        <w:rPr>
          <w:rFonts w:ascii="Arial" w:hAnsi="Arial" w:cs="Arial"/>
          <w:sz w:val="18"/>
          <w:szCs w:val="18"/>
        </w:rPr>
        <w:t xml:space="preserve"> Refer to:</w:t>
      </w:r>
    </w:p>
    <w:p w:rsidR="00D860D9" w:rsidRPr="00CF3EEB" w:rsidRDefault="00D860D9" w:rsidP="00D860D9">
      <w:pPr>
        <w:pStyle w:val="FootnoteText"/>
        <w:numPr>
          <w:ilvl w:val="0"/>
          <w:numId w:val="34"/>
        </w:numPr>
        <w:rPr>
          <w:rFonts w:ascii="Arial" w:hAnsi="Arial" w:cs="Arial"/>
          <w:sz w:val="18"/>
          <w:szCs w:val="18"/>
        </w:rPr>
      </w:pPr>
      <w:r w:rsidRPr="00CF3EEB">
        <w:rPr>
          <w:rFonts w:ascii="Arial" w:hAnsi="Arial" w:cs="Arial"/>
          <w:sz w:val="18"/>
          <w:szCs w:val="18"/>
        </w:rPr>
        <w:t xml:space="preserve">CPS Domestic Abuse Legal Guidance for advice on avoiding assumptions in relation to </w:t>
      </w:r>
      <w:hyperlink r:id="rId3" w:anchor="a03" w:tgtFrame="_blank" w:tooltip="terminology used" w:history="1">
        <w:r w:rsidRPr="00CF3EEB">
          <w:rPr>
            <w:rStyle w:val="Hyperlink"/>
            <w:rFonts w:ascii="Arial" w:hAnsi="Arial" w:cs="Arial"/>
            <w:sz w:val="18"/>
            <w:szCs w:val="18"/>
          </w:rPr>
          <w:t>termi</w:t>
        </w:r>
        <w:r w:rsidRPr="00CF3EEB">
          <w:rPr>
            <w:rStyle w:val="Hyperlink"/>
            <w:rFonts w:ascii="Arial" w:hAnsi="Arial" w:cs="Arial"/>
            <w:sz w:val="18"/>
            <w:szCs w:val="18"/>
          </w:rPr>
          <w:t>n</w:t>
        </w:r>
        <w:r w:rsidRPr="00CF3EEB">
          <w:rPr>
            <w:rStyle w:val="Hyperlink"/>
            <w:rFonts w:ascii="Arial" w:hAnsi="Arial" w:cs="Arial"/>
            <w:sz w:val="18"/>
            <w:szCs w:val="18"/>
          </w:rPr>
          <w:t>ology used</w:t>
        </w:r>
      </w:hyperlink>
      <w:r w:rsidRPr="00CF3EEB">
        <w:rPr>
          <w:rFonts w:ascii="Arial" w:hAnsi="Arial" w:cs="Arial"/>
          <w:sz w:val="18"/>
          <w:szCs w:val="18"/>
        </w:rPr>
        <w:t xml:space="preserve"> and on the </w:t>
      </w:r>
      <w:hyperlink r:id="rId4" w:anchor="a06" w:tgtFrame="_blank" w:tooltip="dynamics of domestic abuse" w:history="1">
        <w:r w:rsidRPr="00CF3EEB">
          <w:rPr>
            <w:rStyle w:val="Hyperlink"/>
            <w:rFonts w:ascii="Arial" w:hAnsi="Arial" w:cs="Arial"/>
            <w:sz w:val="18"/>
            <w:szCs w:val="18"/>
          </w:rPr>
          <w:t>dynamics of domestic abuse</w:t>
        </w:r>
      </w:hyperlink>
      <w:r w:rsidRPr="00CF3EEB">
        <w:rPr>
          <w:rFonts w:ascii="Arial" w:hAnsi="Arial" w:cs="Arial"/>
          <w:sz w:val="18"/>
          <w:szCs w:val="18"/>
        </w:rPr>
        <w:t xml:space="preserve"> </w:t>
      </w:r>
    </w:p>
    <w:p w:rsidR="00D860D9" w:rsidRPr="00BD039C" w:rsidRDefault="00BD039C" w:rsidP="00D860D9">
      <w:pPr>
        <w:pStyle w:val="FootnoteText"/>
        <w:numPr>
          <w:ilvl w:val="0"/>
          <w:numId w:val="34"/>
        </w:numPr>
        <w:rPr>
          <w:rStyle w:val="Hyperlink"/>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"https://www.cps.gov.uk/legal-guidance/rape-and-sexual-offences" \o "CPS Rape and Sexual Offences Legal Guidance" \t "_blank" </w:instrText>
      </w:r>
      <w:r>
        <w:rPr>
          <w:rFonts w:ascii="Arial" w:hAnsi="Arial" w:cs="Arial"/>
          <w:sz w:val="18"/>
          <w:szCs w:val="18"/>
        </w:rPr>
      </w:r>
      <w:r>
        <w:rPr>
          <w:rFonts w:ascii="Arial" w:hAnsi="Arial" w:cs="Arial"/>
          <w:sz w:val="18"/>
          <w:szCs w:val="18"/>
        </w:rPr>
        <w:fldChar w:fldCharType="separate"/>
      </w:r>
      <w:r w:rsidR="00D860D9" w:rsidRPr="00BD039C">
        <w:rPr>
          <w:rStyle w:val="Hyperlink"/>
          <w:rFonts w:ascii="Arial" w:hAnsi="Arial" w:cs="Arial"/>
          <w:sz w:val="18"/>
          <w:szCs w:val="18"/>
        </w:rPr>
        <w:t>CPS Rape and Sexual Offences Legal Guidance.</w:t>
      </w:r>
    </w:p>
    <w:p w:rsidR="00D860D9" w:rsidRPr="00CF3EEB" w:rsidRDefault="00BD039C" w:rsidP="00D860D9">
      <w:pPr>
        <w:pStyle w:val="FootnoteText"/>
        <w:numPr>
          <w:ilvl w:val="0"/>
          <w:numId w:val="34"/>
        </w:numPr>
        <w:rPr>
          <w:rFonts w:ascii="Arial" w:hAnsi="Arial" w:cs="Arial"/>
          <w:sz w:val="18"/>
          <w:szCs w:val="18"/>
        </w:rPr>
      </w:pPr>
      <w:r>
        <w:rPr>
          <w:rFonts w:ascii="Arial" w:hAnsi="Arial" w:cs="Arial"/>
          <w:sz w:val="18"/>
          <w:szCs w:val="18"/>
        </w:rPr>
        <w:fldChar w:fldCharType="end"/>
      </w:r>
      <w:hyperlink r:id="rId5" w:tgtFrame="_blank" w:tooltip="College of Policing Authorised Professional Practice on Domestic Abuse" w:history="1">
        <w:r w:rsidR="00D860D9" w:rsidRPr="00CF3EEB">
          <w:rPr>
            <w:rStyle w:val="Hyperlink"/>
            <w:rFonts w:ascii="Arial" w:hAnsi="Arial" w:cs="Arial"/>
            <w:sz w:val="18"/>
            <w:szCs w:val="18"/>
          </w:rPr>
          <w:t>College of Policing Authorised Professional Practice on Domest</w:t>
        </w:r>
        <w:r w:rsidR="00D860D9" w:rsidRPr="00CF3EEB">
          <w:rPr>
            <w:rStyle w:val="Hyperlink"/>
            <w:rFonts w:ascii="Arial" w:hAnsi="Arial" w:cs="Arial"/>
            <w:sz w:val="18"/>
            <w:szCs w:val="18"/>
          </w:rPr>
          <w:t>i</w:t>
        </w:r>
        <w:r w:rsidR="00D860D9" w:rsidRPr="00CF3EEB">
          <w:rPr>
            <w:rStyle w:val="Hyperlink"/>
            <w:rFonts w:ascii="Arial" w:hAnsi="Arial" w:cs="Arial"/>
            <w:sz w:val="18"/>
            <w:szCs w:val="18"/>
          </w:rPr>
          <w:t>c Abuse</w:t>
        </w:r>
      </w:hyperlink>
      <w:r w:rsidR="00D860D9" w:rsidRPr="00CF3EEB">
        <w:rPr>
          <w:rFonts w:ascii="Arial" w:hAnsi="Arial" w:cs="Arial"/>
          <w:sz w:val="18"/>
          <w:szCs w:val="18"/>
        </w:rPr>
        <w:t xml:space="preserve"> </w:t>
      </w:r>
    </w:p>
    <w:p w:rsidR="00D860D9" w:rsidRPr="00BD039C" w:rsidRDefault="00BD039C" w:rsidP="00D860D9">
      <w:pPr>
        <w:pStyle w:val="FootnoteText"/>
        <w:numPr>
          <w:ilvl w:val="0"/>
          <w:numId w:val="34"/>
        </w:numPr>
        <w:rPr>
          <w:rStyle w:val="Hyperlink"/>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"https://www.cps.gov.uk/sites/default/files/documents/publications/cps_acpo_rape_protocol_v2-1.pdf" </w:instrText>
      </w:r>
      <w:r>
        <w:rPr>
          <w:rFonts w:ascii="Arial" w:hAnsi="Arial" w:cs="Arial"/>
          <w:sz w:val="18"/>
          <w:szCs w:val="18"/>
        </w:rPr>
      </w:r>
      <w:r>
        <w:rPr>
          <w:rFonts w:ascii="Arial" w:hAnsi="Arial" w:cs="Arial"/>
          <w:sz w:val="18"/>
          <w:szCs w:val="18"/>
        </w:rPr>
        <w:fldChar w:fldCharType="separate"/>
      </w:r>
      <w:r w:rsidR="00D860D9" w:rsidRPr="00BD039C">
        <w:rPr>
          <w:rStyle w:val="Hyperlink"/>
          <w:rFonts w:ascii="Arial" w:hAnsi="Arial" w:cs="Arial"/>
          <w:sz w:val="18"/>
          <w:szCs w:val="18"/>
        </w:rPr>
        <w:t>Protocol between the Police Service and Crown Prosecution Service in the Investigation and Prosecution of Rape</w:t>
      </w:r>
    </w:p>
    <w:p w:rsidR="00D860D9" w:rsidRPr="003E7063" w:rsidRDefault="00BD039C" w:rsidP="00D860D9">
      <w:pPr>
        <w:pStyle w:val="FootnoteText"/>
        <w:rPr>
          <w:rFonts w:ascii="Arial" w:hAnsi="Arial" w:cs="Arial"/>
          <w:b/>
          <w:i/>
          <w:sz w:val="18"/>
          <w:szCs w:val="18"/>
        </w:rPr>
      </w:pPr>
      <w:r>
        <w:rPr>
          <w:rFonts w:ascii="Arial" w:hAnsi="Arial" w:cs="Arial"/>
          <w:sz w:val="18"/>
          <w:szCs w:val="18"/>
        </w:rPr>
        <w:fldChar w:fldCharType="end"/>
      </w:r>
    </w:p>
    <w:p w:rsidR="00D860D9" w:rsidRPr="003E7063" w:rsidRDefault="00D860D9" w:rsidP="00D860D9">
      <w:pPr>
        <w:pStyle w:val="FootnoteText"/>
        <w:rPr>
          <w:rFonts w:ascii="Arial" w:hAnsi="Arial" w:cs="Arial"/>
          <w:b/>
          <w:i/>
          <w:sz w:val="18"/>
          <w:szCs w:val="18"/>
        </w:rPr>
      </w:pPr>
      <w:r w:rsidRPr="003E7063">
        <w:rPr>
          <w:rFonts w:ascii="Arial" w:hAnsi="Arial" w:cs="Arial"/>
          <w:b/>
          <w:i/>
          <w:sz w:val="18"/>
          <w:szCs w:val="18"/>
        </w:rPr>
        <w:t>in cases involving rape; police should consider the early investigative advice procedure as set out in the Director’s Guidance on Charging</w:t>
      </w:r>
    </w:p>
    <w:p w:rsidR="00D860D9" w:rsidRDefault="00D860D9" w:rsidP="00D860D9">
      <w:pPr>
        <w:pStyle w:val="FootnoteText"/>
        <w:ind w:left="360"/>
      </w:pPr>
    </w:p>
  </w:footnote>
  <w:footnote w:id="6">
    <w:p w:rsidR="007152ED" w:rsidRPr="009C0F7C" w:rsidRDefault="007152ED" w:rsidP="009A2091">
      <w:pPr>
        <w:pStyle w:val="FootnoteText"/>
        <w:rPr>
          <w:rFonts w:ascii="Arial" w:hAnsi="Arial" w:cs="Arial"/>
          <w:color w:val="FF0000"/>
          <w:sz w:val="18"/>
          <w:szCs w:val="18"/>
        </w:rPr>
      </w:pPr>
      <w:r w:rsidRPr="009C0F7C">
        <w:rPr>
          <w:rStyle w:val="FootnoteReference"/>
          <w:rFonts w:ascii="Arial" w:hAnsi="Arial" w:cs="Arial"/>
          <w:color w:val="000000" w:themeColor="text1"/>
          <w:sz w:val="18"/>
          <w:szCs w:val="18"/>
        </w:rPr>
        <w:footnoteRef/>
      </w:r>
      <w:r w:rsidRPr="009C0F7C">
        <w:rPr>
          <w:rFonts w:ascii="Arial" w:hAnsi="Arial" w:cs="Arial"/>
          <w:color w:val="000000" w:themeColor="text1"/>
          <w:sz w:val="18"/>
          <w:szCs w:val="18"/>
        </w:rPr>
        <w:t xml:space="preserve"> The ‘Guidelines of Paediatric Forensic Examinations in Relation to Possible Child Sexual Abuse’ (Faculty of Forensic and Legal Medicine-October 2012) state that is essential that a permanent record of the genital/anal findings be obtained in cases of suspected child sexual abuse.</w:t>
      </w:r>
    </w:p>
  </w:footnote>
  <w:footnote w:id="7">
    <w:p w:rsidR="007152ED" w:rsidRPr="00CF3EEB" w:rsidRDefault="007152ED">
      <w:pPr>
        <w:pStyle w:val="FootnoteText"/>
        <w:rPr>
          <w:rFonts w:ascii="Arial" w:hAnsi="Arial" w:cs="Arial"/>
          <w:sz w:val="18"/>
          <w:szCs w:val="18"/>
        </w:rPr>
      </w:pPr>
      <w:r w:rsidRPr="009E14BE">
        <w:rPr>
          <w:rStyle w:val="FootnoteReference"/>
          <w:rFonts w:ascii="Arial" w:hAnsi="Arial" w:cs="Arial"/>
          <w:sz w:val="18"/>
          <w:szCs w:val="18"/>
        </w:rPr>
        <w:footnoteRef/>
      </w:r>
      <w:r w:rsidRPr="009E14BE">
        <w:rPr>
          <w:rFonts w:ascii="Arial" w:hAnsi="Arial" w:cs="Arial"/>
          <w:sz w:val="18"/>
          <w:szCs w:val="18"/>
        </w:rPr>
        <w:t xml:space="preserve"> It is recognised that the DASH model is under review and a refined model is currently being piloted.</w:t>
      </w:r>
    </w:p>
  </w:footnote>
  <w:footnote w:id="8">
    <w:p w:rsidR="007152ED" w:rsidRPr="00630EC8" w:rsidRDefault="007152ED" w:rsidP="00630EC8">
      <w:pPr>
        <w:pStyle w:val="FootnoteText"/>
        <w:rPr>
          <w:rFonts w:ascii="Arial" w:hAnsi="Arial" w:cs="Arial"/>
          <w:sz w:val="18"/>
          <w:szCs w:val="18"/>
        </w:rPr>
      </w:pPr>
      <w:r w:rsidRPr="00630EC8">
        <w:rPr>
          <w:rStyle w:val="FootnoteReference"/>
          <w:rFonts w:ascii="Arial" w:hAnsi="Arial" w:cs="Arial"/>
          <w:sz w:val="18"/>
          <w:szCs w:val="18"/>
        </w:rPr>
        <w:footnoteRef/>
      </w:r>
      <w:r w:rsidRPr="00630EC8">
        <w:rPr>
          <w:rFonts w:ascii="Arial" w:hAnsi="Arial" w:cs="Arial"/>
          <w:sz w:val="18"/>
          <w:szCs w:val="18"/>
        </w:rPr>
        <w:t xml:space="preserve"> Police to email:</w:t>
      </w:r>
      <w:hyperlink r:id="rId6" w:history="1">
        <w:r w:rsidRPr="00630EC8">
          <w:rPr>
            <w:rStyle w:val="Hyperlink"/>
            <w:rFonts w:ascii="Arial" w:hAnsi="Arial" w:cs="Arial"/>
            <w:sz w:val="18"/>
            <w:szCs w:val="18"/>
          </w:rPr>
          <w:t>mcis@nca.pnn.police.uk</w:t>
        </w:r>
      </w:hyperlink>
      <w:r w:rsidRPr="00630EC8">
        <w:rPr>
          <w:rFonts w:ascii="Arial" w:hAnsi="Arial" w:cs="Arial"/>
          <w:sz w:val="18"/>
          <w:szCs w:val="18"/>
        </w:rPr>
        <w:t>, non-police to email:</w:t>
      </w:r>
      <w:hyperlink r:id="rId7" w:history="1">
        <w:r w:rsidRPr="00630EC8">
          <w:rPr>
            <w:rStyle w:val="Hyperlink"/>
            <w:rFonts w:ascii="Arial" w:hAnsi="Arial" w:cs="Arial"/>
            <w:sz w:val="18"/>
            <w:szCs w:val="18"/>
          </w:rPr>
          <w:t>mcis@nca.x.gsi.gov.uk</w:t>
        </w:r>
      </w:hyperlink>
    </w:p>
    <w:p w:rsidR="007152ED" w:rsidRDefault="007152ED">
      <w:pPr>
        <w:pStyle w:val="FootnoteText"/>
      </w:pPr>
    </w:p>
  </w:footnote>
  <w:footnote w:id="9">
    <w:p w:rsidR="007152ED" w:rsidRPr="00854B81" w:rsidRDefault="007152ED">
      <w:pPr>
        <w:pStyle w:val="FootnoteText"/>
        <w:rPr>
          <w:rFonts w:ascii="Arial" w:hAnsi="Arial" w:cs="Arial"/>
          <w:sz w:val="18"/>
          <w:szCs w:val="18"/>
        </w:rPr>
      </w:pPr>
      <w:r w:rsidRPr="00854B81">
        <w:rPr>
          <w:rStyle w:val="FootnoteReference"/>
          <w:rFonts w:ascii="Arial" w:hAnsi="Arial" w:cs="Arial"/>
          <w:sz w:val="18"/>
          <w:szCs w:val="18"/>
        </w:rPr>
        <w:footnoteRef/>
      </w:r>
      <w:r w:rsidRPr="00854B81">
        <w:rPr>
          <w:rFonts w:ascii="Arial" w:hAnsi="Arial" w:cs="Arial"/>
          <w:sz w:val="18"/>
          <w:szCs w:val="18"/>
        </w:rPr>
        <w:t xml:space="preserve"> “</w:t>
      </w:r>
      <w:proofErr w:type="gramStart"/>
      <w:r w:rsidRPr="00854B81">
        <w:rPr>
          <w:rFonts w:ascii="Arial" w:hAnsi="Arial" w:cs="Arial"/>
          <w:sz w:val="18"/>
          <w:szCs w:val="18"/>
        </w:rPr>
        <w:t>girl</w:t>
      </w:r>
      <w:proofErr w:type="gramEnd"/>
      <w:r w:rsidRPr="00854B81">
        <w:rPr>
          <w:rFonts w:ascii="Arial" w:hAnsi="Arial" w:cs="Arial"/>
          <w:sz w:val="18"/>
          <w:szCs w:val="18"/>
        </w:rPr>
        <w:t xml:space="preserve">” includes woman’, i.e. a woman of any age can be protected by an FGMPO.  </w:t>
      </w:r>
    </w:p>
  </w:footnote>
  <w:footnote w:id="10">
    <w:p w:rsidR="007152ED" w:rsidRPr="005D267C" w:rsidRDefault="007152ED">
      <w:pPr>
        <w:pStyle w:val="FootnoteText"/>
        <w:rPr>
          <w:rFonts w:ascii="Arial" w:hAnsi="Arial" w:cs="Arial"/>
          <w:sz w:val="18"/>
          <w:szCs w:val="18"/>
        </w:rPr>
      </w:pPr>
      <w:r w:rsidRPr="005D267C">
        <w:rPr>
          <w:rStyle w:val="FootnoteReference"/>
          <w:rFonts w:ascii="Arial" w:hAnsi="Arial" w:cs="Arial"/>
          <w:sz w:val="18"/>
          <w:szCs w:val="18"/>
        </w:rPr>
        <w:footnoteRef/>
      </w:r>
      <w:r w:rsidRPr="005D267C">
        <w:rPr>
          <w:rFonts w:ascii="Arial" w:hAnsi="Arial" w:cs="Arial"/>
          <w:sz w:val="18"/>
          <w:szCs w:val="18"/>
        </w:rPr>
        <w:t xml:space="preserve"> More info</w:t>
      </w:r>
      <w:r>
        <w:rPr>
          <w:rFonts w:ascii="Arial" w:hAnsi="Arial" w:cs="Arial"/>
          <w:sz w:val="18"/>
          <w:szCs w:val="18"/>
        </w:rPr>
        <w:t xml:space="preserve">rmation on applying for and FGMPO can be found here: </w:t>
      </w:r>
      <w:hyperlink r:id="rId8" w:history="1">
        <w:r w:rsidRPr="003B2844">
          <w:rPr>
            <w:rStyle w:val="Hyperlink"/>
            <w:rFonts w:ascii="Arial" w:hAnsi="Arial" w:cs="Arial"/>
            <w:sz w:val="18"/>
            <w:szCs w:val="18"/>
          </w:rPr>
          <w:t>https://www.gov.uk/female-genital-mutilation-protection-order</w:t>
        </w:r>
      </w:hyperlink>
      <w:r>
        <w:rPr>
          <w:rFonts w:ascii="Arial" w:hAnsi="Arial" w:cs="Arial"/>
          <w:sz w:val="18"/>
          <w:szCs w:val="18"/>
        </w:rPr>
        <w:t xml:space="preserve">. </w:t>
      </w:r>
    </w:p>
  </w:footnote>
  <w:footnote w:id="11">
    <w:p w:rsidR="007152ED" w:rsidRPr="00E65FFF" w:rsidRDefault="007152ED">
      <w:pPr>
        <w:pStyle w:val="FootnoteText"/>
        <w:rPr>
          <w:rFonts w:ascii="Arial" w:hAnsi="Arial" w:cs="Arial"/>
          <w:sz w:val="18"/>
          <w:szCs w:val="18"/>
        </w:rPr>
      </w:pPr>
      <w:r w:rsidRPr="00E65FFF">
        <w:rPr>
          <w:rStyle w:val="FootnoteReference"/>
          <w:rFonts w:ascii="Arial" w:hAnsi="Arial" w:cs="Arial"/>
          <w:sz w:val="18"/>
          <w:szCs w:val="18"/>
        </w:rPr>
        <w:footnoteRef/>
      </w:r>
      <w:r w:rsidRPr="00E65FFF">
        <w:rPr>
          <w:rFonts w:ascii="Arial" w:hAnsi="Arial" w:cs="Arial"/>
          <w:sz w:val="18"/>
          <w:szCs w:val="18"/>
        </w:rPr>
        <w:t xml:space="preserve"> </w:t>
      </w:r>
      <w:r>
        <w:rPr>
          <w:rFonts w:ascii="Arial" w:hAnsi="Arial" w:cs="Arial"/>
          <w:sz w:val="18"/>
          <w:szCs w:val="18"/>
        </w:rPr>
        <w:t>However this should be discussed with the complainant; some complainants may find a summons a useful tool to demonstrate to their families/extended families that they had no choice but to attend court.</w:t>
      </w:r>
    </w:p>
  </w:footnote>
  <w:footnote w:id="12">
    <w:p w:rsidR="007152ED" w:rsidRPr="00687E5A" w:rsidRDefault="007152ED">
      <w:pPr>
        <w:pStyle w:val="FootnoteText"/>
        <w:rPr>
          <w:rFonts w:ascii="Arial" w:hAnsi="Arial" w:cs="Arial"/>
          <w:sz w:val="18"/>
          <w:szCs w:val="18"/>
        </w:rPr>
      </w:pPr>
      <w:r w:rsidRPr="00687E5A">
        <w:rPr>
          <w:rStyle w:val="FootnoteReference"/>
          <w:rFonts w:ascii="Arial" w:hAnsi="Arial" w:cs="Arial"/>
          <w:sz w:val="18"/>
          <w:szCs w:val="18"/>
        </w:rPr>
        <w:footnoteRef/>
      </w:r>
      <w:r w:rsidRPr="00687E5A">
        <w:rPr>
          <w:rFonts w:ascii="Arial" w:hAnsi="Arial" w:cs="Arial"/>
          <w:sz w:val="18"/>
          <w:szCs w:val="18"/>
        </w:rPr>
        <w:t xml:space="preserve"> </w:t>
      </w:r>
      <w:r>
        <w:rPr>
          <w:rFonts w:ascii="Arial" w:hAnsi="Arial" w:cs="Arial"/>
          <w:sz w:val="18"/>
          <w:szCs w:val="18"/>
        </w:rPr>
        <w:t>N.B: do not assume that if a complainant is from a particular community they would want to be referred to an organisation representative of that community.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0C3"/>
    <w:multiLevelType w:val="multilevel"/>
    <w:tmpl w:val="79F2CC5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36B38"/>
    <w:multiLevelType w:val="multilevel"/>
    <w:tmpl w:val="2CB22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83338"/>
    <w:multiLevelType w:val="hybridMultilevel"/>
    <w:tmpl w:val="6D7212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7225146"/>
    <w:multiLevelType w:val="hybridMultilevel"/>
    <w:tmpl w:val="59E06D5A"/>
    <w:lvl w:ilvl="0" w:tplc="AF609D5A">
      <w:start w:val="1"/>
      <w:numFmt w:val="bullet"/>
      <w:lvlText w:val="̴"/>
      <w:lvlJc w:val="left"/>
      <w:pPr>
        <w:ind w:left="720" w:hanging="360"/>
      </w:pPr>
      <w:rPr>
        <w:rFonts w:ascii="Courier New" w:hAnsi="Courier New" w:hint="default"/>
        <w:b w:val="0"/>
      </w:rPr>
    </w:lvl>
    <w:lvl w:ilvl="1" w:tplc="AF609D5A">
      <w:start w:val="1"/>
      <w:numFmt w:val="bullet"/>
      <w:lvlText w:val="̴"/>
      <w:lvlJc w:val="left"/>
      <w:pPr>
        <w:ind w:left="1440" w:hanging="360"/>
      </w:pPr>
      <w:rPr>
        <w:rFonts w:ascii="Courier New" w:hAnsi="Courier New" w:hint="default"/>
        <w:color w:val="auto"/>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09A41CAA"/>
    <w:multiLevelType w:val="multilevel"/>
    <w:tmpl w:val="B6F8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70968"/>
    <w:multiLevelType w:val="multilevel"/>
    <w:tmpl w:val="21C6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D20A5"/>
    <w:multiLevelType w:val="hybridMultilevel"/>
    <w:tmpl w:val="13285B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0DCC06F8"/>
    <w:multiLevelType w:val="multilevel"/>
    <w:tmpl w:val="054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D207F"/>
    <w:multiLevelType w:val="multilevel"/>
    <w:tmpl w:val="DF0A033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9C26BF6"/>
    <w:multiLevelType w:val="hybridMultilevel"/>
    <w:tmpl w:val="07721E60"/>
    <w:lvl w:ilvl="0" w:tplc="10CCA81E">
      <w:start w:val="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765C61"/>
    <w:multiLevelType w:val="multilevel"/>
    <w:tmpl w:val="9272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45EA8"/>
    <w:multiLevelType w:val="multilevel"/>
    <w:tmpl w:val="1968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B0184"/>
    <w:multiLevelType w:val="hybridMultilevel"/>
    <w:tmpl w:val="C44ADCF8"/>
    <w:lvl w:ilvl="0" w:tplc="D01A10EC">
      <w:start w:val="1"/>
      <w:numFmt w:val="bullet"/>
      <w:lvlText w:val="•"/>
      <w:lvlJc w:val="left"/>
      <w:pPr>
        <w:tabs>
          <w:tab w:val="num" w:pos="720"/>
        </w:tabs>
        <w:ind w:left="720" w:hanging="360"/>
      </w:pPr>
      <w:rPr>
        <w:rFonts w:ascii="Arial" w:hAnsi="Arial" w:hint="default"/>
      </w:rPr>
    </w:lvl>
    <w:lvl w:ilvl="1" w:tplc="93FCD4D2" w:tentative="1">
      <w:start w:val="1"/>
      <w:numFmt w:val="bullet"/>
      <w:lvlText w:val="•"/>
      <w:lvlJc w:val="left"/>
      <w:pPr>
        <w:tabs>
          <w:tab w:val="num" w:pos="1440"/>
        </w:tabs>
        <w:ind w:left="1440" w:hanging="360"/>
      </w:pPr>
      <w:rPr>
        <w:rFonts w:ascii="Arial" w:hAnsi="Arial" w:hint="default"/>
      </w:rPr>
    </w:lvl>
    <w:lvl w:ilvl="2" w:tplc="3DA699E8" w:tentative="1">
      <w:start w:val="1"/>
      <w:numFmt w:val="bullet"/>
      <w:lvlText w:val="•"/>
      <w:lvlJc w:val="left"/>
      <w:pPr>
        <w:tabs>
          <w:tab w:val="num" w:pos="2160"/>
        </w:tabs>
        <w:ind w:left="2160" w:hanging="360"/>
      </w:pPr>
      <w:rPr>
        <w:rFonts w:ascii="Arial" w:hAnsi="Arial" w:hint="default"/>
      </w:rPr>
    </w:lvl>
    <w:lvl w:ilvl="3" w:tplc="0902107C" w:tentative="1">
      <w:start w:val="1"/>
      <w:numFmt w:val="bullet"/>
      <w:lvlText w:val="•"/>
      <w:lvlJc w:val="left"/>
      <w:pPr>
        <w:tabs>
          <w:tab w:val="num" w:pos="2880"/>
        </w:tabs>
        <w:ind w:left="2880" w:hanging="360"/>
      </w:pPr>
      <w:rPr>
        <w:rFonts w:ascii="Arial" w:hAnsi="Arial" w:hint="default"/>
      </w:rPr>
    </w:lvl>
    <w:lvl w:ilvl="4" w:tplc="B2CCC4A0" w:tentative="1">
      <w:start w:val="1"/>
      <w:numFmt w:val="bullet"/>
      <w:lvlText w:val="•"/>
      <w:lvlJc w:val="left"/>
      <w:pPr>
        <w:tabs>
          <w:tab w:val="num" w:pos="3600"/>
        </w:tabs>
        <w:ind w:left="3600" w:hanging="360"/>
      </w:pPr>
      <w:rPr>
        <w:rFonts w:ascii="Arial" w:hAnsi="Arial" w:hint="default"/>
      </w:rPr>
    </w:lvl>
    <w:lvl w:ilvl="5" w:tplc="DAD473B6" w:tentative="1">
      <w:start w:val="1"/>
      <w:numFmt w:val="bullet"/>
      <w:lvlText w:val="•"/>
      <w:lvlJc w:val="left"/>
      <w:pPr>
        <w:tabs>
          <w:tab w:val="num" w:pos="4320"/>
        </w:tabs>
        <w:ind w:left="4320" w:hanging="360"/>
      </w:pPr>
      <w:rPr>
        <w:rFonts w:ascii="Arial" w:hAnsi="Arial" w:hint="default"/>
      </w:rPr>
    </w:lvl>
    <w:lvl w:ilvl="6" w:tplc="81BA5B40" w:tentative="1">
      <w:start w:val="1"/>
      <w:numFmt w:val="bullet"/>
      <w:lvlText w:val="•"/>
      <w:lvlJc w:val="left"/>
      <w:pPr>
        <w:tabs>
          <w:tab w:val="num" w:pos="5040"/>
        </w:tabs>
        <w:ind w:left="5040" w:hanging="360"/>
      </w:pPr>
      <w:rPr>
        <w:rFonts w:ascii="Arial" w:hAnsi="Arial" w:hint="default"/>
      </w:rPr>
    </w:lvl>
    <w:lvl w:ilvl="7" w:tplc="41C0C1C6" w:tentative="1">
      <w:start w:val="1"/>
      <w:numFmt w:val="bullet"/>
      <w:lvlText w:val="•"/>
      <w:lvlJc w:val="left"/>
      <w:pPr>
        <w:tabs>
          <w:tab w:val="num" w:pos="5760"/>
        </w:tabs>
        <w:ind w:left="5760" w:hanging="360"/>
      </w:pPr>
      <w:rPr>
        <w:rFonts w:ascii="Arial" w:hAnsi="Arial" w:hint="default"/>
      </w:rPr>
    </w:lvl>
    <w:lvl w:ilvl="8" w:tplc="7206F0B8" w:tentative="1">
      <w:start w:val="1"/>
      <w:numFmt w:val="bullet"/>
      <w:lvlText w:val="•"/>
      <w:lvlJc w:val="left"/>
      <w:pPr>
        <w:tabs>
          <w:tab w:val="num" w:pos="6480"/>
        </w:tabs>
        <w:ind w:left="6480" w:hanging="360"/>
      </w:pPr>
      <w:rPr>
        <w:rFonts w:ascii="Arial" w:hAnsi="Arial" w:hint="default"/>
      </w:rPr>
    </w:lvl>
  </w:abstractNum>
  <w:abstractNum w:abstractNumId="13">
    <w:nsid w:val="1F6E7E60"/>
    <w:multiLevelType w:val="hybridMultilevel"/>
    <w:tmpl w:val="5A365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65F37E9"/>
    <w:multiLevelType w:val="multilevel"/>
    <w:tmpl w:val="566C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65CD4"/>
    <w:multiLevelType w:val="hybridMultilevel"/>
    <w:tmpl w:val="2E18A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CEC1AED"/>
    <w:multiLevelType w:val="hybridMultilevel"/>
    <w:tmpl w:val="7B48F2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E791E71"/>
    <w:multiLevelType w:val="multilevel"/>
    <w:tmpl w:val="FFD2B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FC41F8"/>
    <w:multiLevelType w:val="hybridMultilevel"/>
    <w:tmpl w:val="26644A3C"/>
    <w:lvl w:ilvl="0" w:tplc="DEB8BA0E">
      <w:start w:val="7"/>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B279FB"/>
    <w:multiLevelType w:val="hybridMultilevel"/>
    <w:tmpl w:val="A0902102"/>
    <w:lvl w:ilvl="0" w:tplc="6DBC1C80">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2020DC"/>
    <w:multiLevelType w:val="hybridMultilevel"/>
    <w:tmpl w:val="54F6F4F2"/>
    <w:lvl w:ilvl="0" w:tplc="82DA7B8E">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A87B19"/>
    <w:multiLevelType w:val="multilevel"/>
    <w:tmpl w:val="6FF20886"/>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37266CC2"/>
    <w:multiLevelType w:val="hybridMultilevel"/>
    <w:tmpl w:val="539E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F74599"/>
    <w:multiLevelType w:val="hybridMultilevel"/>
    <w:tmpl w:val="B12E9D36"/>
    <w:lvl w:ilvl="0" w:tplc="FD2ADAE2">
      <w:start w:val="4"/>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450C7C"/>
    <w:multiLevelType w:val="hybridMultilevel"/>
    <w:tmpl w:val="539048FC"/>
    <w:lvl w:ilvl="0" w:tplc="A56A6544">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26389D"/>
    <w:multiLevelType w:val="multilevel"/>
    <w:tmpl w:val="1C7E5F34"/>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0CB60E7"/>
    <w:multiLevelType w:val="multilevel"/>
    <w:tmpl w:val="ABAEC240"/>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17734F0"/>
    <w:multiLevelType w:val="hybridMultilevel"/>
    <w:tmpl w:val="352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3449D4"/>
    <w:multiLevelType w:val="hybridMultilevel"/>
    <w:tmpl w:val="B7D609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056480A"/>
    <w:multiLevelType w:val="multilevel"/>
    <w:tmpl w:val="C5C23B6E"/>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5F013D1"/>
    <w:multiLevelType w:val="multilevel"/>
    <w:tmpl w:val="D68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1130D"/>
    <w:multiLevelType w:val="hybridMultilevel"/>
    <w:tmpl w:val="E62221CC"/>
    <w:lvl w:ilvl="0" w:tplc="373C60D2">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434997"/>
    <w:multiLevelType w:val="multilevel"/>
    <w:tmpl w:val="C0DAF1DA"/>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DAE1DBB"/>
    <w:multiLevelType w:val="multilevel"/>
    <w:tmpl w:val="799CD1E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DE2760B"/>
    <w:multiLevelType w:val="hybridMultilevel"/>
    <w:tmpl w:val="991EA58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nsid w:val="61A9572C"/>
    <w:multiLevelType w:val="hybridMultilevel"/>
    <w:tmpl w:val="6974F250"/>
    <w:lvl w:ilvl="0" w:tplc="FD2ADAE2">
      <w:start w:val="4"/>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797C96"/>
    <w:multiLevelType w:val="hybridMultilevel"/>
    <w:tmpl w:val="B09CC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3241C81"/>
    <w:multiLevelType w:val="multilevel"/>
    <w:tmpl w:val="6C684006"/>
    <w:lvl w:ilvl="0">
      <w:start w:val="5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4403152"/>
    <w:multiLevelType w:val="hybridMultilevel"/>
    <w:tmpl w:val="CA4C7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7E80ABE"/>
    <w:multiLevelType w:val="hybridMultilevel"/>
    <w:tmpl w:val="6A9E9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8D4483D"/>
    <w:multiLevelType w:val="multilevel"/>
    <w:tmpl w:val="41944BA8"/>
    <w:lvl w:ilvl="0">
      <w:start w:val="4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AE81D36"/>
    <w:multiLevelType w:val="hybridMultilevel"/>
    <w:tmpl w:val="C52A5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6F3E5A61"/>
    <w:multiLevelType w:val="multilevel"/>
    <w:tmpl w:val="2A3A5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747244"/>
    <w:multiLevelType w:val="hybridMultilevel"/>
    <w:tmpl w:val="F5EA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6B6534"/>
    <w:multiLevelType w:val="hybridMultilevel"/>
    <w:tmpl w:val="7DAEF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58A7587"/>
    <w:multiLevelType w:val="multilevel"/>
    <w:tmpl w:val="00EC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62515B"/>
    <w:multiLevelType w:val="multilevel"/>
    <w:tmpl w:val="A3C65B5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DFE403F"/>
    <w:multiLevelType w:val="hybridMultilevel"/>
    <w:tmpl w:val="0498B770"/>
    <w:lvl w:ilvl="0" w:tplc="30C2D3C6">
      <w:start w:val="2"/>
      <w:numFmt w:val="decimal"/>
      <w:lvlText w:val="%1."/>
      <w:lvlJc w:val="left"/>
      <w:pPr>
        <w:tabs>
          <w:tab w:val="num" w:pos="720"/>
        </w:tabs>
        <w:ind w:left="720" w:hanging="360"/>
      </w:pPr>
      <w:rPr>
        <w:rFonts w:ascii="Arial" w:hAnsi="Arial" w:cs="Arial"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8">
    <w:nsid w:val="7EEB4C7D"/>
    <w:multiLevelType w:val="multilevel"/>
    <w:tmpl w:val="30DC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33"/>
  </w:num>
  <w:num w:numId="4">
    <w:abstractNumId w:val="1"/>
  </w:num>
  <w:num w:numId="5">
    <w:abstractNumId w:val="45"/>
  </w:num>
  <w:num w:numId="6">
    <w:abstractNumId w:val="40"/>
  </w:num>
  <w:num w:numId="7">
    <w:abstractNumId w:val="34"/>
  </w:num>
  <w:num w:numId="8">
    <w:abstractNumId w:val="20"/>
  </w:num>
  <w:num w:numId="9">
    <w:abstractNumId w:val="31"/>
  </w:num>
  <w:num w:numId="10">
    <w:abstractNumId w:val="8"/>
  </w:num>
  <w:num w:numId="11">
    <w:abstractNumId w:val="32"/>
  </w:num>
  <w:num w:numId="12">
    <w:abstractNumId w:val="18"/>
  </w:num>
  <w:num w:numId="13">
    <w:abstractNumId w:val="29"/>
  </w:num>
  <w:num w:numId="14">
    <w:abstractNumId w:val="19"/>
  </w:num>
  <w:num w:numId="15">
    <w:abstractNumId w:val="25"/>
  </w:num>
  <w:num w:numId="16">
    <w:abstractNumId w:val="42"/>
  </w:num>
  <w:num w:numId="17">
    <w:abstractNumId w:val="7"/>
  </w:num>
  <w:num w:numId="18">
    <w:abstractNumId w:val="26"/>
  </w:num>
  <w:num w:numId="19">
    <w:abstractNumId w:val="37"/>
  </w:num>
  <w:num w:numId="20">
    <w:abstractNumId w:val="10"/>
  </w:num>
  <w:num w:numId="21">
    <w:abstractNumId w:val="11"/>
  </w:num>
  <w:num w:numId="22">
    <w:abstractNumId w:val="5"/>
  </w:num>
  <w:num w:numId="23">
    <w:abstractNumId w:val="9"/>
  </w:num>
  <w:num w:numId="24">
    <w:abstractNumId w:val="30"/>
  </w:num>
  <w:num w:numId="25">
    <w:abstractNumId w:val="24"/>
  </w:num>
  <w:num w:numId="26">
    <w:abstractNumId w:val="28"/>
  </w:num>
  <w:num w:numId="27">
    <w:abstractNumId w:val="17"/>
  </w:num>
  <w:num w:numId="28">
    <w:abstractNumId w:val="48"/>
  </w:num>
  <w:num w:numId="29">
    <w:abstractNumId w:val="46"/>
  </w:num>
  <w:num w:numId="30">
    <w:abstractNumId w:val="23"/>
  </w:num>
  <w:num w:numId="31">
    <w:abstractNumId w:val="16"/>
  </w:num>
  <w:num w:numId="32">
    <w:abstractNumId w:val="13"/>
  </w:num>
  <w:num w:numId="33">
    <w:abstractNumId w:val="35"/>
  </w:num>
  <w:num w:numId="34">
    <w:abstractNumId w:val="14"/>
  </w:num>
  <w:num w:numId="35">
    <w:abstractNumId w:val="2"/>
  </w:num>
  <w:num w:numId="36">
    <w:abstractNumId w:val="44"/>
  </w:num>
  <w:num w:numId="37">
    <w:abstractNumId w:val="3"/>
  </w:num>
  <w:num w:numId="38">
    <w:abstractNumId w:val="0"/>
  </w:num>
  <w:num w:numId="39">
    <w:abstractNumId w:val="4"/>
  </w:num>
  <w:num w:numId="40">
    <w:abstractNumId w:val="47"/>
  </w:num>
  <w:num w:numId="41">
    <w:abstractNumId w:val="36"/>
  </w:num>
  <w:num w:numId="42">
    <w:abstractNumId w:val="38"/>
  </w:num>
  <w:num w:numId="43">
    <w:abstractNumId w:val="39"/>
  </w:num>
  <w:num w:numId="44">
    <w:abstractNumId w:val="21"/>
  </w:num>
  <w:num w:numId="45">
    <w:abstractNumId w:val="41"/>
  </w:num>
  <w:num w:numId="46">
    <w:abstractNumId w:val="15"/>
  </w:num>
  <w:num w:numId="47">
    <w:abstractNumId w:val="22"/>
  </w:num>
  <w:num w:numId="48">
    <w:abstractNumId w:val="43"/>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Mahon, Jean">
    <w15:presenceInfo w15:providerId="AD" w15:userId="S-1-5-21-2002062289-2020709010-4147574693-13505"/>
  </w15:person>
  <w15:person w15:author="Ritchie, Robert">
    <w15:presenceInfo w15:providerId="AD" w15:userId="S-1-5-21-2002062289-2020709010-4147574693-351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0E"/>
    <w:rsid w:val="00000571"/>
    <w:rsid w:val="00006D50"/>
    <w:rsid w:val="000075B6"/>
    <w:rsid w:val="00007ABF"/>
    <w:rsid w:val="00011DDE"/>
    <w:rsid w:val="00012773"/>
    <w:rsid w:val="000167BE"/>
    <w:rsid w:val="0002051F"/>
    <w:rsid w:val="00026CDB"/>
    <w:rsid w:val="00031595"/>
    <w:rsid w:val="00032509"/>
    <w:rsid w:val="0003253A"/>
    <w:rsid w:val="00035992"/>
    <w:rsid w:val="000359DD"/>
    <w:rsid w:val="0003680A"/>
    <w:rsid w:val="000456F7"/>
    <w:rsid w:val="000505D8"/>
    <w:rsid w:val="00050B1A"/>
    <w:rsid w:val="0005218B"/>
    <w:rsid w:val="00052ACC"/>
    <w:rsid w:val="000577BA"/>
    <w:rsid w:val="000607BF"/>
    <w:rsid w:val="000611E7"/>
    <w:rsid w:val="00062471"/>
    <w:rsid w:val="00063977"/>
    <w:rsid w:val="00066064"/>
    <w:rsid w:val="000725AB"/>
    <w:rsid w:val="00077096"/>
    <w:rsid w:val="000804DE"/>
    <w:rsid w:val="0008459D"/>
    <w:rsid w:val="000900B9"/>
    <w:rsid w:val="00091C36"/>
    <w:rsid w:val="000936AF"/>
    <w:rsid w:val="00095D31"/>
    <w:rsid w:val="000A1604"/>
    <w:rsid w:val="000A2325"/>
    <w:rsid w:val="000A2B14"/>
    <w:rsid w:val="000A4224"/>
    <w:rsid w:val="000A4EE5"/>
    <w:rsid w:val="000B1B50"/>
    <w:rsid w:val="000B2E72"/>
    <w:rsid w:val="000B673F"/>
    <w:rsid w:val="000B7A64"/>
    <w:rsid w:val="000C7374"/>
    <w:rsid w:val="000D0171"/>
    <w:rsid w:val="000D1E16"/>
    <w:rsid w:val="000D2670"/>
    <w:rsid w:val="000D2D9D"/>
    <w:rsid w:val="000D3698"/>
    <w:rsid w:val="000D3853"/>
    <w:rsid w:val="000D3BFB"/>
    <w:rsid w:val="000D3ECB"/>
    <w:rsid w:val="000D4007"/>
    <w:rsid w:val="000E1036"/>
    <w:rsid w:val="000E1A71"/>
    <w:rsid w:val="000E42AA"/>
    <w:rsid w:val="000E5A14"/>
    <w:rsid w:val="000E5AF9"/>
    <w:rsid w:val="000E6273"/>
    <w:rsid w:val="000E6554"/>
    <w:rsid w:val="000E741E"/>
    <w:rsid w:val="000F3009"/>
    <w:rsid w:val="000F6AB4"/>
    <w:rsid w:val="000F6C64"/>
    <w:rsid w:val="000F7481"/>
    <w:rsid w:val="000F7DAF"/>
    <w:rsid w:val="00103CBB"/>
    <w:rsid w:val="00104157"/>
    <w:rsid w:val="0011136F"/>
    <w:rsid w:val="001117B2"/>
    <w:rsid w:val="00112178"/>
    <w:rsid w:val="00112902"/>
    <w:rsid w:val="001150F1"/>
    <w:rsid w:val="00121D6D"/>
    <w:rsid w:val="001220B5"/>
    <w:rsid w:val="00124AD3"/>
    <w:rsid w:val="00130409"/>
    <w:rsid w:val="00132C31"/>
    <w:rsid w:val="001440B0"/>
    <w:rsid w:val="00145838"/>
    <w:rsid w:val="00152087"/>
    <w:rsid w:val="001520A6"/>
    <w:rsid w:val="00153281"/>
    <w:rsid w:val="00155643"/>
    <w:rsid w:val="00161CEB"/>
    <w:rsid w:val="0016548E"/>
    <w:rsid w:val="001705DD"/>
    <w:rsid w:val="001713A2"/>
    <w:rsid w:val="00171F93"/>
    <w:rsid w:val="00172EFA"/>
    <w:rsid w:val="001749DF"/>
    <w:rsid w:val="0017615F"/>
    <w:rsid w:val="00176633"/>
    <w:rsid w:val="001777BD"/>
    <w:rsid w:val="00180F2A"/>
    <w:rsid w:val="00181395"/>
    <w:rsid w:val="00182C9A"/>
    <w:rsid w:val="00182EA8"/>
    <w:rsid w:val="00183367"/>
    <w:rsid w:val="001872ED"/>
    <w:rsid w:val="00191FAB"/>
    <w:rsid w:val="001930D2"/>
    <w:rsid w:val="00196576"/>
    <w:rsid w:val="001A02A2"/>
    <w:rsid w:val="001A0737"/>
    <w:rsid w:val="001A5355"/>
    <w:rsid w:val="001A7842"/>
    <w:rsid w:val="001B1820"/>
    <w:rsid w:val="001B1E93"/>
    <w:rsid w:val="001B5786"/>
    <w:rsid w:val="001B5E1C"/>
    <w:rsid w:val="001B6B9B"/>
    <w:rsid w:val="001C686F"/>
    <w:rsid w:val="001D3AAC"/>
    <w:rsid w:val="001D674A"/>
    <w:rsid w:val="001E0119"/>
    <w:rsid w:val="001E0486"/>
    <w:rsid w:val="001E0BB2"/>
    <w:rsid w:val="001E50C4"/>
    <w:rsid w:val="001E555F"/>
    <w:rsid w:val="001E7694"/>
    <w:rsid w:val="001F147A"/>
    <w:rsid w:val="001F2BDA"/>
    <w:rsid w:val="001F37CE"/>
    <w:rsid w:val="001F73B1"/>
    <w:rsid w:val="00200891"/>
    <w:rsid w:val="00202FD7"/>
    <w:rsid w:val="00204BCD"/>
    <w:rsid w:val="00205277"/>
    <w:rsid w:val="00213913"/>
    <w:rsid w:val="00216420"/>
    <w:rsid w:val="002165A4"/>
    <w:rsid w:val="002202C0"/>
    <w:rsid w:val="00220855"/>
    <w:rsid w:val="0022264F"/>
    <w:rsid w:val="00223261"/>
    <w:rsid w:val="002242C7"/>
    <w:rsid w:val="0022444F"/>
    <w:rsid w:val="00231062"/>
    <w:rsid w:val="00231F45"/>
    <w:rsid w:val="002327B6"/>
    <w:rsid w:val="00232B2B"/>
    <w:rsid w:val="00232EAB"/>
    <w:rsid w:val="00240EF2"/>
    <w:rsid w:val="0024473B"/>
    <w:rsid w:val="00246469"/>
    <w:rsid w:val="00246634"/>
    <w:rsid w:val="00246651"/>
    <w:rsid w:val="00247728"/>
    <w:rsid w:val="00250555"/>
    <w:rsid w:val="00255A9C"/>
    <w:rsid w:val="00256152"/>
    <w:rsid w:val="00261AEB"/>
    <w:rsid w:val="00266377"/>
    <w:rsid w:val="00271A1A"/>
    <w:rsid w:val="00272C4C"/>
    <w:rsid w:val="00277444"/>
    <w:rsid w:val="0027768F"/>
    <w:rsid w:val="00277D94"/>
    <w:rsid w:val="00282DAF"/>
    <w:rsid w:val="00283E34"/>
    <w:rsid w:val="002849CF"/>
    <w:rsid w:val="00285F84"/>
    <w:rsid w:val="00287269"/>
    <w:rsid w:val="00290B84"/>
    <w:rsid w:val="002922BC"/>
    <w:rsid w:val="00292EDD"/>
    <w:rsid w:val="00295705"/>
    <w:rsid w:val="0029786A"/>
    <w:rsid w:val="002A3C55"/>
    <w:rsid w:val="002A3DE1"/>
    <w:rsid w:val="002A6676"/>
    <w:rsid w:val="002A7FF5"/>
    <w:rsid w:val="002B2BA9"/>
    <w:rsid w:val="002B3275"/>
    <w:rsid w:val="002B339A"/>
    <w:rsid w:val="002B3B08"/>
    <w:rsid w:val="002B6203"/>
    <w:rsid w:val="002B7D68"/>
    <w:rsid w:val="002C0BA3"/>
    <w:rsid w:val="002C29CC"/>
    <w:rsid w:val="002D0DCC"/>
    <w:rsid w:val="002D1AD5"/>
    <w:rsid w:val="002D3903"/>
    <w:rsid w:val="002E0A3A"/>
    <w:rsid w:val="002E327B"/>
    <w:rsid w:val="002E5991"/>
    <w:rsid w:val="002F0802"/>
    <w:rsid w:val="002F5741"/>
    <w:rsid w:val="003006FD"/>
    <w:rsid w:val="00300FCA"/>
    <w:rsid w:val="00301E45"/>
    <w:rsid w:val="00303EF7"/>
    <w:rsid w:val="003112ED"/>
    <w:rsid w:val="00311AC1"/>
    <w:rsid w:val="00312798"/>
    <w:rsid w:val="003136E5"/>
    <w:rsid w:val="003156C3"/>
    <w:rsid w:val="00315E9C"/>
    <w:rsid w:val="003210B1"/>
    <w:rsid w:val="003230AE"/>
    <w:rsid w:val="00323D1D"/>
    <w:rsid w:val="003244A7"/>
    <w:rsid w:val="003247AA"/>
    <w:rsid w:val="00325DC7"/>
    <w:rsid w:val="00326D81"/>
    <w:rsid w:val="00333296"/>
    <w:rsid w:val="00343CBA"/>
    <w:rsid w:val="00347062"/>
    <w:rsid w:val="0034746C"/>
    <w:rsid w:val="003628A7"/>
    <w:rsid w:val="00362E47"/>
    <w:rsid w:val="003656DC"/>
    <w:rsid w:val="00372EC8"/>
    <w:rsid w:val="0037365B"/>
    <w:rsid w:val="00375AB7"/>
    <w:rsid w:val="00376487"/>
    <w:rsid w:val="0037728E"/>
    <w:rsid w:val="003772E4"/>
    <w:rsid w:val="0038013C"/>
    <w:rsid w:val="00381C46"/>
    <w:rsid w:val="0038688F"/>
    <w:rsid w:val="00386CC6"/>
    <w:rsid w:val="003928DC"/>
    <w:rsid w:val="00392DE0"/>
    <w:rsid w:val="003A03C6"/>
    <w:rsid w:val="003A1EAE"/>
    <w:rsid w:val="003A3152"/>
    <w:rsid w:val="003A3B61"/>
    <w:rsid w:val="003A3C99"/>
    <w:rsid w:val="003B08B2"/>
    <w:rsid w:val="003B0B20"/>
    <w:rsid w:val="003B27F8"/>
    <w:rsid w:val="003B3A8A"/>
    <w:rsid w:val="003B43A9"/>
    <w:rsid w:val="003C3300"/>
    <w:rsid w:val="003D0B36"/>
    <w:rsid w:val="003D1BF1"/>
    <w:rsid w:val="003D376F"/>
    <w:rsid w:val="003D4A23"/>
    <w:rsid w:val="003D66C8"/>
    <w:rsid w:val="003D699A"/>
    <w:rsid w:val="003E017D"/>
    <w:rsid w:val="003E15DF"/>
    <w:rsid w:val="003E267E"/>
    <w:rsid w:val="003E40B7"/>
    <w:rsid w:val="003E42FE"/>
    <w:rsid w:val="003E558D"/>
    <w:rsid w:val="003E7063"/>
    <w:rsid w:val="003E7894"/>
    <w:rsid w:val="003F0EFC"/>
    <w:rsid w:val="003F111E"/>
    <w:rsid w:val="00400625"/>
    <w:rsid w:val="004007F0"/>
    <w:rsid w:val="00417EEF"/>
    <w:rsid w:val="004249FE"/>
    <w:rsid w:val="0043459F"/>
    <w:rsid w:val="00444B78"/>
    <w:rsid w:val="00447524"/>
    <w:rsid w:val="00451E33"/>
    <w:rsid w:val="00453137"/>
    <w:rsid w:val="0045415E"/>
    <w:rsid w:val="00454999"/>
    <w:rsid w:val="0045507C"/>
    <w:rsid w:val="00455410"/>
    <w:rsid w:val="0046056A"/>
    <w:rsid w:val="00461F00"/>
    <w:rsid w:val="00463179"/>
    <w:rsid w:val="004643B8"/>
    <w:rsid w:val="00464529"/>
    <w:rsid w:val="00473626"/>
    <w:rsid w:val="00474B38"/>
    <w:rsid w:val="00474F47"/>
    <w:rsid w:val="00481DF6"/>
    <w:rsid w:val="00483284"/>
    <w:rsid w:val="00486729"/>
    <w:rsid w:val="004879C2"/>
    <w:rsid w:val="00491874"/>
    <w:rsid w:val="004939FD"/>
    <w:rsid w:val="004A056E"/>
    <w:rsid w:val="004A1777"/>
    <w:rsid w:val="004A7026"/>
    <w:rsid w:val="004B0B19"/>
    <w:rsid w:val="004B4536"/>
    <w:rsid w:val="004B4EF4"/>
    <w:rsid w:val="004C020D"/>
    <w:rsid w:val="004C04E5"/>
    <w:rsid w:val="004C068C"/>
    <w:rsid w:val="004C6E39"/>
    <w:rsid w:val="004C74A2"/>
    <w:rsid w:val="004C76F5"/>
    <w:rsid w:val="004D4976"/>
    <w:rsid w:val="004D4B76"/>
    <w:rsid w:val="004E195F"/>
    <w:rsid w:val="004E25E0"/>
    <w:rsid w:val="004E30FB"/>
    <w:rsid w:val="004E3732"/>
    <w:rsid w:val="004E4B7A"/>
    <w:rsid w:val="004E70CB"/>
    <w:rsid w:val="004F0190"/>
    <w:rsid w:val="004F02BF"/>
    <w:rsid w:val="004F039D"/>
    <w:rsid w:val="004F3292"/>
    <w:rsid w:val="004F6AB8"/>
    <w:rsid w:val="00501A71"/>
    <w:rsid w:val="005037E4"/>
    <w:rsid w:val="00505653"/>
    <w:rsid w:val="00505E6F"/>
    <w:rsid w:val="00506346"/>
    <w:rsid w:val="005106C9"/>
    <w:rsid w:val="00512BAC"/>
    <w:rsid w:val="00517B04"/>
    <w:rsid w:val="0052319C"/>
    <w:rsid w:val="00524B1F"/>
    <w:rsid w:val="00526768"/>
    <w:rsid w:val="00526C51"/>
    <w:rsid w:val="00527C09"/>
    <w:rsid w:val="00530680"/>
    <w:rsid w:val="00530AB6"/>
    <w:rsid w:val="00530BFE"/>
    <w:rsid w:val="00533800"/>
    <w:rsid w:val="0054667E"/>
    <w:rsid w:val="00552F56"/>
    <w:rsid w:val="00553526"/>
    <w:rsid w:val="005560D7"/>
    <w:rsid w:val="005604A8"/>
    <w:rsid w:val="005626F2"/>
    <w:rsid w:val="005635CE"/>
    <w:rsid w:val="00564A28"/>
    <w:rsid w:val="00565C08"/>
    <w:rsid w:val="00570C60"/>
    <w:rsid w:val="00575514"/>
    <w:rsid w:val="00577D15"/>
    <w:rsid w:val="00583503"/>
    <w:rsid w:val="00584D13"/>
    <w:rsid w:val="0058550C"/>
    <w:rsid w:val="005858D4"/>
    <w:rsid w:val="00586A79"/>
    <w:rsid w:val="00587E6C"/>
    <w:rsid w:val="00590A9E"/>
    <w:rsid w:val="00592DA7"/>
    <w:rsid w:val="005979FE"/>
    <w:rsid w:val="005A2777"/>
    <w:rsid w:val="005A3200"/>
    <w:rsid w:val="005A3CB8"/>
    <w:rsid w:val="005A4DFF"/>
    <w:rsid w:val="005A550F"/>
    <w:rsid w:val="005A7AEC"/>
    <w:rsid w:val="005A7CDB"/>
    <w:rsid w:val="005B3F2E"/>
    <w:rsid w:val="005B49CF"/>
    <w:rsid w:val="005B7EC3"/>
    <w:rsid w:val="005C6CA7"/>
    <w:rsid w:val="005D1DB0"/>
    <w:rsid w:val="005D2262"/>
    <w:rsid w:val="005D267C"/>
    <w:rsid w:val="005D3EAA"/>
    <w:rsid w:val="005D49C0"/>
    <w:rsid w:val="005E3900"/>
    <w:rsid w:val="005E3E00"/>
    <w:rsid w:val="005E3E73"/>
    <w:rsid w:val="005E52AD"/>
    <w:rsid w:val="005F0AC8"/>
    <w:rsid w:val="005F140D"/>
    <w:rsid w:val="005F42DF"/>
    <w:rsid w:val="005F7CC1"/>
    <w:rsid w:val="00600AB7"/>
    <w:rsid w:val="0060149F"/>
    <w:rsid w:val="006015E9"/>
    <w:rsid w:val="00602903"/>
    <w:rsid w:val="00602973"/>
    <w:rsid w:val="00603B13"/>
    <w:rsid w:val="0060549B"/>
    <w:rsid w:val="00607326"/>
    <w:rsid w:val="00607F50"/>
    <w:rsid w:val="00612289"/>
    <w:rsid w:val="00613726"/>
    <w:rsid w:val="00616754"/>
    <w:rsid w:val="006177F9"/>
    <w:rsid w:val="0062096D"/>
    <w:rsid w:val="00621583"/>
    <w:rsid w:val="00622C87"/>
    <w:rsid w:val="00624D43"/>
    <w:rsid w:val="00630EC8"/>
    <w:rsid w:val="00631CB2"/>
    <w:rsid w:val="00632D08"/>
    <w:rsid w:val="00633837"/>
    <w:rsid w:val="0063468B"/>
    <w:rsid w:val="00635E16"/>
    <w:rsid w:val="00636370"/>
    <w:rsid w:val="00644787"/>
    <w:rsid w:val="00645554"/>
    <w:rsid w:val="0065409D"/>
    <w:rsid w:val="00664214"/>
    <w:rsid w:val="00670EB8"/>
    <w:rsid w:val="006725C7"/>
    <w:rsid w:val="0067467C"/>
    <w:rsid w:val="00676171"/>
    <w:rsid w:val="00676CA1"/>
    <w:rsid w:val="00682A7E"/>
    <w:rsid w:val="00686D87"/>
    <w:rsid w:val="00687E5A"/>
    <w:rsid w:val="00694455"/>
    <w:rsid w:val="0069526F"/>
    <w:rsid w:val="00695FB1"/>
    <w:rsid w:val="006A0DDB"/>
    <w:rsid w:val="006A3CA8"/>
    <w:rsid w:val="006A592D"/>
    <w:rsid w:val="006A71DC"/>
    <w:rsid w:val="006B3BD1"/>
    <w:rsid w:val="006B58A1"/>
    <w:rsid w:val="006B5FD5"/>
    <w:rsid w:val="006B7CBC"/>
    <w:rsid w:val="006B7F27"/>
    <w:rsid w:val="006C3FC7"/>
    <w:rsid w:val="006C753A"/>
    <w:rsid w:val="006D3DEC"/>
    <w:rsid w:val="006E3A50"/>
    <w:rsid w:val="006E4F0A"/>
    <w:rsid w:val="006E563F"/>
    <w:rsid w:val="006E68A0"/>
    <w:rsid w:val="006F10CD"/>
    <w:rsid w:val="006F1F68"/>
    <w:rsid w:val="006F42BC"/>
    <w:rsid w:val="006F69A2"/>
    <w:rsid w:val="00702A84"/>
    <w:rsid w:val="00705153"/>
    <w:rsid w:val="00706D17"/>
    <w:rsid w:val="007076CB"/>
    <w:rsid w:val="007117CA"/>
    <w:rsid w:val="0071215A"/>
    <w:rsid w:val="00714F12"/>
    <w:rsid w:val="007152ED"/>
    <w:rsid w:val="00715B90"/>
    <w:rsid w:val="00721499"/>
    <w:rsid w:val="00723B0D"/>
    <w:rsid w:val="007245C5"/>
    <w:rsid w:val="007247C5"/>
    <w:rsid w:val="00731331"/>
    <w:rsid w:val="007319A3"/>
    <w:rsid w:val="007329C6"/>
    <w:rsid w:val="00734373"/>
    <w:rsid w:val="00737162"/>
    <w:rsid w:val="00737288"/>
    <w:rsid w:val="007414B1"/>
    <w:rsid w:val="00743154"/>
    <w:rsid w:val="00744006"/>
    <w:rsid w:val="00744A8E"/>
    <w:rsid w:val="007457AC"/>
    <w:rsid w:val="0074664B"/>
    <w:rsid w:val="00746F09"/>
    <w:rsid w:val="0074700D"/>
    <w:rsid w:val="007479C1"/>
    <w:rsid w:val="00751B9B"/>
    <w:rsid w:val="00753967"/>
    <w:rsid w:val="00754AE9"/>
    <w:rsid w:val="0075563D"/>
    <w:rsid w:val="00760A77"/>
    <w:rsid w:val="00763992"/>
    <w:rsid w:val="00775937"/>
    <w:rsid w:val="007828A7"/>
    <w:rsid w:val="00785D77"/>
    <w:rsid w:val="00786EFE"/>
    <w:rsid w:val="00787908"/>
    <w:rsid w:val="007906DD"/>
    <w:rsid w:val="00790CCF"/>
    <w:rsid w:val="007915AC"/>
    <w:rsid w:val="00791C37"/>
    <w:rsid w:val="00794CB7"/>
    <w:rsid w:val="00796C2F"/>
    <w:rsid w:val="007A27DA"/>
    <w:rsid w:val="007A3157"/>
    <w:rsid w:val="007A67A4"/>
    <w:rsid w:val="007B022B"/>
    <w:rsid w:val="007B0688"/>
    <w:rsid w:val="007B579C"/>
    <w:rsid w:val="007B599D"/>
    <w:rsid w:val="007C049B"/>
    <w:rsid w:val="007C0BBE"/>
    <w:rsid w:val="007C2DE6"/>
    <w:rsid w:val="007C2F6E"/>
    <w:rsid w:val="007D1A4B"/>
    <w:rsid w:val="007D268A"/>
    <w:rsid w:val="007D6401"/>
    <w:rsid w:val="007D6528"/>
    <w:rsid w:val="007E1DD9"/>
    <w:rsid w:val="007E2C96"/>
    <w:rsid w:val="007E35E7"/>
    <w:rsid w:val="007E37BA"/>
    <w:rsid w:val="007E3CC1"/>
    <w:rsid w:val="007E462F"/>
    <w:rsid w:val="007E4ADF"/>
    <w:rsid w:val="007E5B07"/>
    <w:rsid w:val="007E624D"/>
    <w:rsid w:val="007E74CE"/>
    <w:rsid w:val="007F26D9"/>
    <w:rsid w:val="007F2E79"/>
    <w:rsid w:val="007F3C3B"/>
    <w:rsid w:val="00800C20"/>
    <w:rsid w:val="008011EA"/>
    <w:rsid w:val="008017FE"/>
    <w:rsid w:val="008018D5"/>
    <w:rsid w:val="00801BA4"/>
    <w:rsid w:val="00801F55"/>
    <w:rsid w:val="008043C3"/>
    <w:rsid w:val="00806283"/>
    <w:rsid w:val="00810450"/>
    <w:rsid w:val="00810485"/>
    <w:rsid w:val="008104FC"/>
    <w:rsid w:val="008111D1"/>
    <w:rsid w:val="00813FF6"/>
    <w:rsid w:val="00814A17"/>
    <w:rsid w:val="00817655"/>
    <w:rsid w:val="008179BB"/>
    <w:rsid w:val="00822CD1"/>
    <w:rsid w:val="00823300"/>
    <w:rsid w:val="008275AD"/>
    <w:rsid w:val="0083002A"/>
    <w:rsid w:val="0083118D"/>
    <w:rsid w:val="008314BD"/>
    <w:rsid w:val="008361E0"/>
    <w:rsid w:val="00843261"/>
    <w:rsid w:val="00844E51"/>
    <w:rsid w:val="008500F1"/>
    <w:rsid w:val="0085049A"/>
    <w:rsid w:val="008512FD"/>
    <w:rsid w:val="008527C9"/>
    <w:rsid w:val="00854B81"/>
    <w:rsid w:val="00854C75"/>
    <w:rsid w:val="00861158"/>
    <w:rsid w:val="0086173B"/>
    <w:rsid w:val="008724DE"/>
    <w:rsid w:val="008753AE"/>
    <w:rsid w:val="008759E4"/>
    <w:rsid w:val="00877ABA"/>
    <w:rsid w:val="00881725"/>
    <w:rsid w:val="00892F20"/>
    <w:rsid w:val="0089452D"/>
    <w:rsid w:val="008961FC"/>
    <w:rsid w:val="008969B8"/>
    <w:rsid w:val="008A0F38"/>
    <w:rsid w:val="008A0F86"/>
    <w:rsid w:val="008A2114"/>
    <w:rsid w:val="008A38B5"/>
    <w:rsid w:val="008B03AF"/>
    <w:rsid w:val="008B0425"/>
    <w:rsid w:val="008B259C"/>
    <w:rsid w:val="008B5E79"/>
    <w:rsid w:val="008B68A1"/>
    <w:rsid w:val="008B6BF0"/>
    <w:rsid w:val="008C1031"/>
    <w:rsid w:val="008C1412"/>
    <w:rsid w:val="008C3332"/>
    <w:rsid w:val="008C3F66"/>
    <w:rsid w:val="008C43B7"/>
    <w:rsid w:val="008C580A"/>
    <w:rsid w:val="008C7945"/>
    <w:rsid w:val="008D04B0"/>
    <w:rsid w:val="008D10F4"/>
    <w:rsid w:val="008D1454"/>
    <w:rsid w:val="008D4D4C"/>
    <w:rsid w:val="008D7311"/>
    <w:rsid w:val="008E1AB6"/>
    <w:rsid w:val="008E1B72"/>
    <w:rsid w:val="008E44CE"/>
    <w:rsid w:val="008E5099"/>
    <w:rsid w:val="008E68C4"/>
    <w:rsid w:val="008F123C"/>
    <w:rsid w:val="008F130E"/>
    <w:rsid w:val="008F267D"/>
    <w:rsid w:val="008F2B43"/>
    <w:rsid w:val="00901586"/>
    <w:rsid w:val="00902DBB"/>
    <w:rsid w:val="00903880"/>
    <w:rsid w:val="00904FBB"/>
    <w:rsid w:val="0090516F"/>
    <w:rsid w:val="0090528D"/>
    <w:rsid w:val="0090568B"/>
    <w:rsid w:val="0091616C"/>
    <w:rsid w:val="009203FF"/>
    <w:rsid w:val="009214DC"/>
    <w:rsid w:val="009260D4"/>
    <w:rsid w:val="009309C5"/>
    <w:rsid w:val="00930E58"/>
    <w:rsid w:val="009326C0"/>
    <w:rsid w:val="00940079"/>
    <w:rsid w:val="00941DD5"/>
    <w:rsid w:val="00944CD4"/>
    <w:rsid w:val="00946F48"/>
    <w:rsid w:val="00953268"/>
    <w:rsid w:val="00953743"/>
    <w:rsid w:val="009561BA"/>
    <w:rsid w:val="00957370"/>
    <w:rsid w:val="009573A6"/>
    <w:rsid w:val="009619D8"/>
    <w:rsid w:val="00961CE0"/>
    <w:rsid w:val="009636EA"/>
    <w:rsid w:val="00964E3C"/>
    <w:rsid w:val="00967571"/>
    <w:rsid w:val="009770E3"/>
    <w:rsid w:val="009803A4"/>
    <w:rsid w:val="00981E3E"/>
    <w:rsid w:val="00985A39"/>
    <w:rsid w:val="009868BB"/>
    <w:rsid w:val="00990EE0"/>
    <w:rsid w:val="00992C7A"/>
    <w:rsid w:val="009A2091"/>
    <w:rsid w:val="009B080C"/>
    <w:rsid w:val="009B1731"/>
    <w:rsid w:val="009B1DB0"/>
    <w:rsid w:val="009B454E"/>
    <w:rsid w:val="009B50AF"/>
    <w:rsid w:val="009B5155"/>
    <w:rsid w:val="009C078E"/>
    <w:rsid w:val="009C0F7C"/>
    <w:rsid w:val="009C5A49"/>
    <w:rsid w:val="009C5DE7"/>
    <w:rsid w:val="009C68FF"/>
    <w:rsid w:val="009C6B53"/>
    <w:rsid w:val="009D1F9C"/>
    <w:rsid w:val="009D301F"/>
    <w:rsid w:val="009D3D23"/>
    <w:rsid w:val="009D455A"/>
    <w:rsid w:val="009D699C"/>
    <w:rsid w:val="009D7DBF"/>
    <w:rsid w:val="009E0460"/>
    <w:rsid w:val="009E064C"/>
    <w:rsid w:val="009E14BE"/>
    <w:rsid w:val="009E328C"/>
    <w:rsid w:val="009E510E"/>
    <w:rsid w:val="009F1284"/>
    <w:rsid w:val="00A008A8"/>
    <w:rsid w:val="00A05801"/>
    <w:rsid w:val="00A05D23"/>
    <w:rsid w:val="00A067DD"/>
    <w:rsid w:val="00A07A2B"/>
    <w:rsid w:val="00A104B4"/>
    <w:rsid w:val="00A12052"/>
    <w:rsid w:val="00A14335"/>
    <w:rsid w:val="00A14C28"/>
    <w:rsid w:val="00A150A3"/>
    <w:rsid w:val="00A16BC5"/>
    <w:rsid w:val="00A20518"/>
    <w:rsid w:val="00A207E0"/>
    <w:rsid w:val="00A20D50"/>
    <w:rsid w:val="00A21A4F"/>
    <w:rsid w:val="00A224A4"/>
    <w:rsid w:val="00A23D93"/>
    <w:rsid w:val="00A2429A"/>
    <w:rsid w:val="00A323A3"/>
    <w:rsid w:val="00A347FC"/>
    <w:rsid w:val="00A34FFC"/>
    <w:rsid w:val="00A37DFD"/>
    <w:rsid w:val="00A50642"/>
    <w:rsid w:val="00A54FE8"/>
    <w:rsid w:val="00A555A0"/>
    <w:rsid w:val="00A6065A"/>
    <w:rsid w:val="00A60CD8"/>
    <w:rsid w:val="00A65948"/>
    <w:rsid w:val="00A67227"/>
    <w:rsid w:val="00A7266D"/>
    <w:rsid w:val="00A740CE"/>
    <w:rsid w:val="00A75DDE"/>
    <w:rsid w:val="00A77517"/>
    <w:rsid w:val="00A800F8"/>
    <w:rsid w:val="00A81402"/>
    <w:rsid w:val="00A838F6"/>
    <w:rsid w:val="00A86198"/>
    <w:rsid w:val="00A92A34"/>
    <w:rsid w:val="00AA403F"/>
    <w:rsid w:val="00AA4041"/>
    <w:rsid w:val="00AA7AB3"/>
    <w:rsid w:val="00AB1CEC"/>
    <w:rsid w:val="00AB34EC"/>
    <w:rsid w:val="00AB47D0"/>
    <w:rsid w:val="00AB5AC9"/>
    <w:rsid w:val="00AC079E"/>
    <w:rsid w:val="00AC39B0"/>
    <w:rsid w:val="00AC3D69"/>
    <w:rsid w:val="00AC6614"/>
    <w:rsid w:val="00AD1C8E"/>
    <w:rsid w:val="00AD32C5"/>
    <w:rsid w:val="00AD5B29"/>
    <w:rsid w:val="00AD66FF"/>
    <w:rsid w:val="00AE06C1"/>
    <w:rsid w:val="00AE11FB"/>
    <w:rsid w:val="00AE18D6"/>
    <w:rsid w:val="00AE429E"/>
    <w:rsid w:val="00AE6BBA"/>
    <w:rsid w:val="00AE7D6F"/>
    <w:rsid w:val="00AF29CF"/>
    <w:rsid w:val="00AF331F"/>
    <w:rsid w:val="00AF6D26"/>
    <w:rsid w:val="00B048E6"/>
    <w:rsid w:val="00B066F8"/>
    <w:rsid w:val="00B1034D"/>
    <w:rsid w:val="00B10792"/>
    <w:rsid w:val="00B16B2C"/>
    <w:rsid w:val="00B221D8"/>
    <w:rsid w:val="00B22FE9"/>
    <w:rsid w:val="00B2474A"/>
    <w:rsid w:val="00B24C31"/>
    <w:rsid w:val="00B26F0C"/>
    <w:rsid w:val="00B309D0"/>
    <w:rsid w:val="00B31E6D"/>
    <w:rsid w:val="00B3387A"/>
    <w:rsid w:val="00B349A2"/>
    <w:rsid w:val="00B34B39"/>
    <w:rsid w:val="00B3532E"/>
    <w:rsid w:val="00B36064"/>
    <w:rsid w:val="00B36DDE"/>
    <w:rsid w:val="00B37414"/>
    <w:rsid w:val="00B4128D"/>
    <w:rsid w:val="00B449F3"/>
    <w:rsid w:val="00B45BF3"/>
    <w:rsid w:val="00B46DFC"/>
    <w:rsid w:val="00B5041E"/>
    <w:rsid w:val="00B50B35"/>
    <w:rsid w:val="00B51338"/>
    <w:rsid w:val="00B5211C"/>
    <w:rsid w:val="00B600CA"/>
    <w:rsid w:val="00B601A6"/>
    <w:rsid w:val="00B607AB"/>
    <w:rsid w:val="00B620B1"/>
    <w:rsid w:val="00B6362A"/>
    <w:rsid w:val="00B6414C"/>
    <w:rsid w:val="00B644A1"/>
    <w:rsid w:val="00B7342A"/>
    <w:rsid w:val="00B77AA5"/>
    <w:rsid w:val="00B77AC2"/>
    <w:rsid w:val="00B8275A"/>
    <w:rsid w:val="00B91922"/>
    <w:rsid w:val="00B929D4"/>
    <w:rsid w:val="00B940B6"/>
    <w:rsid w:val="00BA3595"/>
    <w:rsid w:val="00BA4315"/>
    <w:rsid w:val="00BA52BA"/>
    <w:rsid w:val="00BA6353"/>
    <w:rsid w:val="00BB4270"/>
    <w:rsid w:val="00BB4D72"/>
    <w:rsid w:val="00BB7AA8"/>
    <w:rsid w:val="00BC3792"/>
    <w:rsid w:val="00BC4B40"/>
    <w:rsid w:val="00BC4C82"/>
    <w:rsid w:val="00BC6220"/>
    <w:rsid w:val="00BD039C"/>
    <w:rsid w:val="00BD516E"/>
    <w:rsid w:val="00BD5601"/>
    <w:rsid w:val="00BD58B9"/>
    <w:rsid w:val="00BE24B6"/>
    <w:rsid w:val="00BE271B"/>
    <w:rsid w:val="00BE3E74"/>
    <w:rsid w:val="00BE4D19"/>
    <w:rsid w:val="00BE4E1E"/>
    <w:rsid w:val="00BF40AA"/>
    <w:rsid w:val="00BF44D4"/>
    <w:rsid w:val="00BF51DC"/>
    <w:rsid w:val="00C026F8"/>
    <w:rsid w:val="00C0350A"/>
    <w:rsid w:val="00C054C2"/>
    <w:rsid w:val="00C056BF"/>
    <w:rsid w:val="00C12856"/>
    <w:rsid w:val="00C129B4"/>
    <w:rsid w:val="00C16D4F"/>
    <w:rsid w:val="00C222C9"/>
    <w:rsid w:val="00C22601"/>
    <w:rsid w:val="00C24F7A"/>
    <w:rsid w:val="00C27363"/>
    <w:rsid w:val="00C3283A"/>
    <w:rsid w:val="00C41CF0"/>
    <w:rsid w:val="00C42886"/>
    <w:rsid w:val="00C46C96"/>
    <w:rsid w:val="00C6255C"/>
    <w:rsid w:val="00C62858"/>
    <w:rsid w:val="00C63611"/>
    <w:rsid w:val="00C6382E"/>
    <w:rsid w:val="00C65090"/>
    <w:rsid w:val="00C66CEC"/>
    <w:rsid w:val="00C713DB"/>
    <w:rsid w:val="00C71951"/>
    <w:rsid w:val="00C73184"/>
    <w:rsid w:val="00C7508C"/>
    <w:rsid w:val="00C76881"/>
    <w:rsid w:val="00C81112"/>
    <w:rsid w:val="00C81723"/>
    <w:rsid w:val="00C83025"/>
    <w:rsid w:val="00C908A2"/>
    <w:rsid w:val="00C9367F"/>
    <w:rsid w:val="00C9421C"/>
    <w:rsid w:val="00C95928"/>
    <w:rsid w:val="00C978CC"/>
    <w:rsid w:val="00CA0E9F"/>
    <w:rsid w:val="00CA1048"/>
    <w:rsid w:val="00CA2C10"/>
    <w:rsid w:val="00CA792A"/>
    <w:rsid w:val="00CB15ED"/>
    <w:rsid w:val="00CB33D2"/>
    <w:rsid w:val="00CB6C11"/>
    <w:rsid w:val="00CC09A2"/>
    <w:rsid w:val="00CC0A90"/>
    <w:rsid w:val="00CC2FBC"/>
    <w:rsid w:val="00CC56E6"/>
    <w:rsid w:val="00CC6B18"/>
    <w:rsid w:val="00CC6C0D"/>
    <w:rsid w:val="00CD015D"/>
    <w:rsid w:val="00CD114B"/>
    <w:rsid w:val="00CD2E30"/>
    <w:rsid w:val="00CD4CB0"/>
    <w:rsid w:val="00CD4D39"/>
    <w:rsid w:val="00CD5387"/>
    <w:rsid w:val="00CD5EED"/>
    <w:rsid w:val="00CD6E39"/>
    <w:rsid w:val="00CD71D6"/>
    <w:rsid w:val="00CE4641"/>
    <w:rsid w:val="00CF23DC"/>
    <w:rsid w:val="00CF2E30"/>
    <w:rsid w:val="00CF3EEB"/>
    <w:rsid w:val="00CF5A89"/>
    <w:rsid w:val="00CF5F8C"/>
    <w:rsid w:val="00CF6A1E"/>
    <w:rsid w:val="00CF7F54"/>
    <w:rsid w:val="00D003FB"/>
    <w:rsid w:val="00D01C40"/>
    <w:rsid w:val="00D03477"/>
    <w:rsid w:val="00D034CD"/>
    <w:rsid w:val="00D06454"/>
    <w:rsid w:val="00D0718B"/>
    <w:rsid w:val="00D103F9"/>
    <w:rsid w:val="00D12BF3"/>
    <w:rsid w:val="00D1420A"/>
    <w:rsid w:val="00D1492F"/>
    <w:rsid w:val="00D15326"/>
    <w:rsid w:val="00D1594F"/>
    <w:rsid w:val="00D16841"/>
    <w:rsid w:val="00D17F3C"/>
    <w:rsid w:val="00D20077"/>
    <w:rsid w:val="00D2009C"/>
    <w:rsid w:val="00D2281D"/>
    <w:rsid w:val="00D304F1"/>
    <w:rsid w:val="00D31388"/>
    <w:rsid w:val="00D34A80"/>
    <w:rsid w:val="00D37614"/>
    <w:rsid w:val="00D378BE"/>
    <w:rsid w:val="00D37D7B"/>
    <w:rsid w:val="00D414F5"/>
    <w:rsid w:val="00D41548"/>
    <w:rsid w:val="00D432C9"/>
    <w:rsid w:val="00D44328"/>
    <w:rsid w:val="00D46956"/>
    <w:rsid w:val="00D47AE7"/>
    <w:rsid w:val="00D508BD"/>
    <w:rsid w:val="00D50BDA"/>
    <w:rsid w:val="00D54920"/>
    <w:rsid w:val="00D57614"/>
    <w:rsid w:val="00D615D8"/>
    <w:rsid w:val="00D62C26"/>
    <w:rsid w:val="00D724DD"/>
    <w:rsid w:val="00D7302E"/>
    <w:rsid w:val="00D751F2"/>
    <w:rsid w:val="00D814F7"/>
    <w:rsid w:val="00D822CF"/>
    <w:rsid w:val="00D85336"/>
    <w:rsid w:val="00D85AF7"/>
    <w:rsid w:val="00D860D9"/>
    <w:rsid w:val="00D87789"/>
    <w:rsid w:val="00D87A3E"/>
    <w:rsid w:val="00D91EB4"/>
    <w:rsid w:val="00D95AE3"/>
    <w:rsid w:val="00D97B8C"/>
    <w:rsid w:val="00DA52BD"/>
    <w:rsid w:val="00DA60CC"/>
    <w:rsid w:val="00DA7824"/>
    <w:rsid w:val="00DB5654"/>
    <w:rsid w:val="00DC1EE7"/>
    <w:rsid w:val="00DC47AF"/>
    <w:rsid w:val="00DC4971"/>
    <w:rsid w:val="00DC6FEB"/>
    <w:rsid w:val="00DD14B7"/>
    <w:rsid w:val="00DD3B89"/>
    <w:rsid w:val="00DD7A8E"/>
    <w:rsid w:val="00DE1FD3"/>
    <w:rsid w:val="00DE317D"/>
    <w:rsid w:val="00DE3242"/>
    <w:rsid w:val="00DE4B91"/>
    <w:rsid w:val="00DE7715"/>
    <w:rsid w:val="00DF3374"/>
    <w:rsid w:val="00E0453F"/>
    <w:rsid w:val="00E0487C"/>
    <w:rsid w:val="00E0551E"/>
    <w:rsid w:val="00E077A5"/>
    <w:rsid w:val="00E137F5"/>
    <w:rsid w:val="00E203A0"/>
    <w:rsid w:val="00E2076D"/>
    <w:rsid w:val="00E219A3"/>
    <w:rsid w:val="00E21DBA"/>
    <w:rsid w:val="00E2412A"/>
    <w:rsid w:val="00E26D69"/>
    <w:rsid w:val="00E27FB8"/>
    <w:rsid w:val="00E344E9"/>
    <w:rsid w:val="00E375CD"/>
    <w:rsid w:val="00E40634"/>
    <w:rsid w:val="00E417AD"/>
    <w:rsid w:val="00E41D97"/>
    <w:rsid w:val="00E45A5B"/>
    <w:rsid w:val="00E50B17"/>
    <w:rsid w:val="00E511F3"/>
    <w:rsid w:val="00E51CE0"/>
    <w:rsid w:val="00E57A82"/>
    <w:rsid w:val="00E57F6C"/>
    <w:rsid w:val="00E60A7A"/>
    <w:rsid w:val="00E61D73"/>
    <w:rsid w:val="00E636C3"/>
    <w:rsid w:val="00E65FFF"/>
    <w:rsid w:val="00E70429"/>
    <w:rsid w:val="00E71C7D"/>
    <w:rsid w:val="00E75C85"/>
    <w:rsid w:val="00E86099"/>
    <w:rsid w:val="00E865FB"/>
    <w:rsid w:val="00E8677A"/>
    <w:rsid w:val="00E87F14"/>
    <w:rsid w:val="00E9111D"/>
    <w:rsid w:val="00E923C6"/>
    <w:rsid w:val="00E9398F"/>
    <w:rsid w:val="00EA101F"/>
    <w:rsid w:val="00EA193D"/>
    <w:rsid w:val="00EA2F70"/>
    <w:rsid w:val="00EA56BB"/>
    <w:rsid w:val="00EA6A8C"/>
    <w:rsid w:val="00EA6D00"/>
    <w:rsid w:val="00EB5F46"/>
    <w:rsid w:val="00EC0717"/>
    <w:rsid w:val="00EC1D40"/>
    <w:rsid w:val="00EC34FC"/>
    <w:rsid w:val="00EC3AF6"/>
    <w:rsid w:val="00EC4F0B"/>
    <w:rsid w:val="00ED105C"/>
    <w:rsid w:val="00ED1D1D"/>
    <w:rsid w:val="00ED24DB"/>
    <w:rsid w:val="00ED42E3"/>
    <w:rsid w:val="00ED60D5"/>
    <w:rsid w:val="00EE0036"/>
    <w:rsid w:val="00EE0438"/>
    <w:rsid w:val="00EE0CA5"/>
    <w:rsid w:val="00EE1743"/>
    <w:rsid w:val="00EE4515"/>
    <w:rsid w:val="00EE6764"/>
    <w:rsid w:val="00EE7198"/>
    <w:rsid w:val="00EE79B5"/>
    <w:rsid w:val="00EE7E1F"/>
    <w:rsid w:val="00EF1389"/>
    <w:rsid w:val="00EF1FB3"/>
    <w:rsid w:val="00EF28F0"/>
    <w:rsid w:val="00EF3B06"/>
    <w:rsid w:val="00EF4DA7"/>
    <w:rsid w:val="00EF5C85"/>
    <w:rsid w:val="00EF6661"/>
    <w:rsid w:val="00F06AC0"/>
    <w:rsid w:val="00F12887"/>
    <w:rsid w:val="00F13CEA"/>
    <w:rsid w:val="00F14C9A"/>
    <w:rsid w:val="00F249DE"/>
    <w:rsid w:val="00F24E9D"/>
    <w:rsid w:val="00F2642D"/>
    <w:rsid w:val="00F2704E"/>
    <w:rsid w:val="00F27D41"/>
    <w:rsid w:val="00F3112A"/>
    <w:rsid w:val="00F32DF8"/>
    <w:rsid w:val="00F34DE3"/>
    <w:rsid w:val="00F407B7"/>
    <w:rsid w:val="00F433F8"/>
    <w:rsid w:val="00F434E0"/>
    <w:rsid w:val="00F437DC"/>
    <w:rsid w:val="00F453CD"/>
    <w:rsid w:val="00F45C98"/>
    <w:rsid w:val="00F46390"/>
    <w:rsid w:val="00F46E25"/>
    <w:rsid w:val="00F509A1"/>
    <w:rsid w:val="00F50F99"/>
    <w:rsid w:val="00F51705"/>
    <w:rsid w:val="00F52143"/>
    <w:rsid w:val="00F56479"/>
    <w:rsid w:val="00F56F4E"/>
    <w:rsid w:val="00F62A84"/>
    <w:rsid w:val="00F63489"/>
    <w:rsid w:val="00F63E49"/>
    <w:rsid w:val="00F64652"/>
    <w:rsid w:val="00F6486B"/>
    <w:rsid w:val="00F65E2B"/>
    <w:rsid w:val="00F67726"/>
    <w:rsid w:val="00F71CBC"/>
    <w:rsid w:val="00F71F66"/>
    <w:rsid w:val="00F721E5"/>
    <w:rsid w:val="00F74547"/>
    <w:rsid w:val="00F74790"/>
    <w:rsid w:val="00F7706A"/>
    <w:rsid w:val="00F80100"/>
    <w:rsid w:val="00F863D7"/>
    <w:rsid w:val="00F867A5"/>
    <w:rsid w:val="00F8758C"/>
    <w:rsid w:val="00F876B7"/>
    <w:rsid w:val="00F90452"/>
    <w:rsid w:val="00F919A4"/>
    <w:rsid w:val="00F95305"/>
    <w:rsid w:val="00FA3F7D"/>
    <w:rsid w:val="00FB2A97"/>
    <w:rsid w:val="00FB2F01"/>
    <w:rsid w:val="00FB443A"/>
    <w:rsid w:val="00FB7899"/>
    <w:rsid w:val="00FB7A2E"/>
    <w:rsid w:val="00FC0426"/>
    <w:rsid w:val="00FC3AD4"/>
    <w:rsid w:val="00FC4A18"/>
    <w:rsid w:val="00FD46D2"/>
    <w:rsid w:val="00FD6746"/>
    <w:rsid w:val="00FD738B"/>
    <w:rsid w:val="00FD7882"/>
    <w:rsid w:val="00FE2AB5"/>
    <w:rsid w:val="00FE5004"/>
    <w:rsid w:val="00FE527D"/>
    <w:rsid w:val="00FE5F88"/>
    <w:rsid w:val="00FF02B0"/>
    <w:rsid w:val="00FF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19A3"/>
    <w:rPr>
      <w:lang w:eastAsia="en-US"/>
    </w:rPr>
  </w:style>
  <w:style w:type="paragraph" w:styleId="Heading1">
    <w:name w:val="heading 1"/>
    <w:basedOn w:val="Normal"/>
    <w:next w:val="Normal"/>
    <w:link w:val="Heading1Char"/>
    <w:uiPriority w:val="99"/>
    <w:qFormat/>
    <w:rsid w:val="00636370"/>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DC6FE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91874"/>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370"/>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DC6FEB"/>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491874"/>
    <w:rPr>
      <w:rFonts w:ascii="Cambria" w:hAnsi="Cambria" w:cs="Times New Roman"/>
      <w:b/>
      <w:bCs/>
      <w:i/>
      <w:iCs/>
      <w:color w:val="4F81BD"/>
    </w:rPr>
  </w:style>
  <w:style w:type="paragraph" w:styleId="BalloonText">
    <w:name w:val="Balloon Text"/>
    <w:basedOn w:val="Normal"/>
    <w:link w:val="BalloonTextChar"/>
    <w:uiPriority w:val="99"/>
    <w:semiHidden/>
    <w:rsid w:val="009E51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10E"/>
    <w:rPr>
      <w:rFonts w:ascii="Tahoma" w:hAnsi="Tahoma" w:cs="Tahoma"/>
      <w:sz w:val="16"/>
      <w:szCs w:val="16"/>
    </w:rPr>
  </w:style>
  <w:style w:type="paragraph" w:styleId="TOCHeading">
    <w:name w:val="TOC Heading"/>
    <w:basedOn w:val="Heading1"/>
    <w:next w:val="Normal"/>
    <w:uiPriority w:val="99"/>
    <w:qFormat/>
    <w:rsid w:val="00636370"/>
    <w:pPr>
      <w:spacing w:line="276" w:lineRule="auto"/>
      <w:outlineLvl w:val="9"/>
    </w:pPr>
    <w:rPr>
      <w:lang w:val="en-US" w:eastAsia="ja-JP"/>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99"/>
    <w:qFormat/>
    <w:rsid w:val="00702A84"/>
    <w:pPr>
      <w:ind w:left="720"/>
      <w:contextualSpacing/>
    </w:pPr>
  </w:style>
  <w:style w:type="paragraph" w:customStyle="1" w:styleId="Default">
    <w:name w:val="Default"/>
    <w:rsid w:val="000936AF"/>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3D66C8"/>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5F7CC1"/>
    <w:rPr>
      <w:rFonts w:cs="Times New Roman"/>
      <w:sz w:val="16"/>
      <w:szCs w:val="16"/>
    </w:rPr>
  </w:style>
  <w:style w:type="paragraph" w:styleId="CommentText">
    <w:name w:val="annotation text"/>
    <w:basedOn w:val="Normal"/>
    <w:link w:val="CommentTextChar"/>
    <w:uiPriority w:val="99"/>
    <w:rsid w:val="005F7CC1"/>
    <w:rPr>
      <w:sz w:val="20"/>
      <w:szCs w:val="20"/>
    </w:rPr>
  </w:style>
  <w:style w:type="character" w:customStyle="1" w:styleId="CommentTextChar">
    <w:name w:val="Comment Text Char"/>
    <w:basedOn w:val="DefaultParagraphFont"/>
    <w:link w:val="CommentText"/>
    <w:uiPriority w:val="99"/>
    <w:locked/>
    <w:rsid w:val="005F7CC1"/>
    <w:rPr>
      <w:rFonts w:cs="Times New Roman"/>
      <w:sz w:val="20"/>
      <w:szCs w:val="20"/>
    </w:rPr>
  </w:style>
  <w:style w:type="paragraph" w:styleId="CommentSubject">
    <w:name w:val="annotation subject"/>
    <w:basedOn w:val="CommentText"/>
    <w:next w:val="CommentText"/>
    <w:link w:val="CommentSubjectChar"/>
    <w:uiPriority w:val="99"/>
    <w:semiHidden/>
    <w:rsid w:val="005F7CC1"/>
    <w:rPr>
      <w:b/>
      <w:bCs/>
    </w:rPr>
  </w:style>
  <w:style w:type="character" w:customStyle="1" w:styleId="CommentSubjectChar">
    <w:name w:val="Comment Subject Char"/>
    <w:basedOn w:val="CommentTextChar"/>
    <w:link w:val="CommentSubject"/>
    <w:uiPriority w:val="99"/>
    <w:semiHidden/>
    <w:locked/>
    <w:rsid w:val="005F7CC1"/>
    <w:rPr>
      <w:rFonts w:cs="Times New Roman"/>
      <w:b/>
      <w:bCs/>
      <w:sz w:val="20"/>
      <w:szCs w:val="20"/>
    </w:rPr>
  </w:style>
  <w:style w:type="character" w:styleId="Hyperlink">
    <w:name w:val="Hyperlink"/>
    <w:basedOn w:val="DefaultParagraphFont"/>
    <w:uiPriority w:val="99"/>
    <w:rsid w:val="00D91EB4"/>
    <w:rPr>
      <w:rFonts w:cs="Times New Roman"/>
      <w:color w:val="0000FF"/>
      <w:u w:val="single"/>
    </w:rPr>
  </w:style>
  <w:style w:type="character" w:styleId="Strong">
    <w:name w:val="Strong"/>
    <w:basedOn w:val="DefaultParagraphFont"/>
    <w:uiPriority w:val="99"/>
    <w:qFormat/>
    <w:rsid w:val="00FF02B0"/>
    <w:rPr>
      <w:rFonts w:cs="Times New Roman"/>
      <w:b/>
      <w:bCs/>
    </w:rPr>
  </w:style>
  <w:style w:type="paragraph" w:styleId="FootnoteText">
    <w:name w:val="footnote text"/>
    <w:basedOn w:val="Normal"/>
    <w:link w:val="FootnoteTextChar"/>
    <w:uiPriority w:val="99"/>
    <w:semiHidden/>
    <w:rsid w:val="00C65090"/>
    <w:rPr>
      <w:sz w:val="20"/>
      <w:szCs w:val="20"/>
    </w:rPr>
  </w:style>
  <w:style w:type="character" w:customStyle="1" w:styleId="FootnoteTextChar">
    <w:name w:val="Footnote Text Char"/>
    <w:basedOn w:val="DefaultParagraphFont"/>
    <w:link w:val="FootnoteText"/>
    <w:uiPriority w:val="99"/>
    <w:semiHidden/>
    <w:locked/>
    <w:rsid w:val="00C65090"/>
    <w:rPr>
      <w:rFonts w:cs="Times New Roman"/>
      <w:sz w:val="20"/>
      <w:szCs w:val="20"/>
    </w:rPr>
  </w:style>
  <w:style w:type="character" w:styleId="FootnoteReference">
    <w:name w:val="footnote reference"/>
    <w:basedOn w:val="DefaultParagraphFont"/>
    <w:uiPriority w:val="99"/>
    <w:semiHidden/>
    <w:rsid w:val="00C65090"/>
    <w:rPr>
      <w:rFonts w:cs="Times New Roman"/>
      <w:vertAlign w:val="superscript"/>
    </w:rPr>
  </w:style>
  <w:style w:type="character" w:styleId="FollowedHyperlink">
    <w:name w:val="FollowedHyperlink"/>
    <w:basedOn w:val="DefaultParagraphFont"/>
    <w:uiPriority w:val="99"/>
    <w:semiHidden/>
    <w:rsid w:val="00464529"/>
    <w:rPr>
      <w:rFonts w:cs="Times New Roman"/>
      <w:color w:val="800080"/>
      <w:u w:val="single"/>
    </w:rPr>
  </w:style>
  <w:style w:type="paragraph" w:styleId="TOC3">
    <w:name w:val="toc 3"/>
    <w:basedOn w:val="Normal"/>
    <w:next w:val="Normal"/>
    <w:autoRedefine/>
    <w:uiPriority w:val="99"/>
    <w:rsid w:val="000B1B50"/>
    <w:pPr>
      <w:spacing w:after="100"/>
      <w:ind w:left="440"/>
    </w:pPr>
  </w:style>
  <w:style w:type="paragraph" w:styleId="EndnoteText">
    <w:name w:val="endnote text"/>
    <w:basedOn w:val="Normal"/>
    <w:link w:val="EndnoteTextChar"/>
    <w:uiPriority w:val="99"/>
    <w:semiHidden/>
    <w:rsid w:val="00444B78"/>
    <w:rPr>
      <w:sz w:val="20"/>
      <w:szCs w:val="20"/>
    </w:rPr>
  </w:style>
  <w:style w:type="character" w:customStyle="1" w:styleId="EndnoteTextChar">
    <w:name w:val="Endnote Text Char"/>
    <w:basedOn w:val="DefaultParagraphFont"/>
    <w:link w:val="EndnoteText"/>
    <w:uiPriority w:val="99"/>
    <w:semiHidden/>
    <w:locked/>
    <w:rsid w:val="00444B78"/>
    <w:rPr>
      <w:rFonts w:cs="Times New Roman"/>
      <w:sz w:val="20"/>
      <w:szCs w:val="20"/>
    </w:rPr>
  </w:style>
  <w:style w:type="character" w:styleId="EndnoteReference">
    <w:name w:val="endnote reference"/>
    <w:basedOn w:val="DefaultParagraphFont"/>
    <w:uiPriority w:val="99"/>
    <w:semiHidden/>
    <w:rsid w:val="00444B78"/>
    <w:rPr>
      <w:rFonts w:cs="Times New Roman"/>
      <w:vertAlign w:val="superscript"/>
    </w:rPr>
  </w:style>
  <w:style w:type="paragraph" w:customStyle="1" w:styleId="top">
    <w:name w:val="top"/>
    <w:basedOn w:val="Normal"/>
    <w:uiPriority w:val="99"/>
    <w:rsid w:val="00CD4CB0"/>
    <w:pPr>
      <w:shd w:val="clear" w:color="auto" w:fill="FFFFFF"/>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rsid w:val="00375AB7"/>
    <w:pPr>
      <w:tabs>
        <w:tab w:val="center" w:pos="4513"/>
        <w:tab w:val="right" w:pos="9026"/>
      </w:tabs>
    </w:pPr>
  </w:style>
  <w:style w:type="character" w:customStyle="1" w:styleId="HeaderChar">
    <w:name w:val="Header Char"/>
    <w:basedOn w:val="DefaultParagraphFont"/>
    <w:link w:val="Header"/>
    <w:uiPriority w:val="99"/>
    <w:locked/>
    <w:rsid w:val="00375AB7"/>
    <w:rPr>
      <w:rFonts w:cs="Times New Roman"/>
    </w:rPr>
  </w:style>
  <w:style w:type="paragraph" w:styleId="Footer">
    <w:name w:val="footer"/>
    <w:basedOn w:val="Normal"/>
    <w:link w:val="FooterChar"/>
    <w:uiPriority w:val="99"/>
    <w:rsid w:val="00375AB7"/>
    <w:pPr>
      <w:tabs>
        <w:tab w:val="center" w:pos="4513"/>
        <w:tab w:val="right" w:pos="9026"/>
      </w:tabs>
    </w:pPr>
  </w:style>
  <w:style w:type="character" w:customStyle="1" w:styleId="FooterChar">
    <w:name w:val="Footer Char"/>
    <w:basedOn w:val="DefaultParagraphFont"/>
    <w:link w:val="Footer"/>
    <w:uiPriority w:val="99"/>
    <w:locked/>
    <w:rsid w:val="00375AB7"/>
    <w:rPr>
      <w:rFonts w:cs="Times New Roman"/>
    </w:rPr>
  </w:style>
  <w:style w:type="character" w:styleId="HTMLAcronym">
    <w:name w:val="HTML Acronym"/>
    <w:basedOn w:val="DefaultParagraphFont"/>
    <w:uiPriority w:val="99"/>
    <w:semiHidden/>
    <w:rsid w:val="00375AB7"/>
    <w:rPr>
      <w:rFonts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locked/>
    <w:rsid w:val="007C0BBE"/>
    <w:rPr>
      <w:rFonts w:cs="Times New Roman"/>
    </w:rPr>
  </w:style>
  <w:style w:type="character" w:styleId="HTMLCite">
    <w:name w:val="HTML Cite"/>
    <w:basedOn w:val="DefaultParagraphFont"/>
    <w:uiPriority w:val="99"/>
    <w:semiHidden/>
    <w:unhideWhenUsed/>
    <w:rsid w:val="00E87F14"/>
    <w:rPr>
      <w:i/>
      <w:iCs/>
    </w:rPr>
  </w:style>
  <w:style w:type="paragraph" w:styleId="BodyText2">
    <w:name w:val="Body Text 2"/>
    <w:basedOn w:val="Normal"/>
    <w:link w:val="BodyText2Char"/>
    <w:uiPriority w:val="99"/>
    <w:semiHidden/>
    <w:unhideWhenUsed/>
    <w:rsid w:val="002849CF"/>
    <w:pPr>
      <w:spacing w:after="120" w:line="480" w:lineRule="auto"/>
    </w:pPr>
  </w:style>
  <w:style w:type="character" w:customStyle="1" w:styleId="BodyText2Char">
    <w:name w:val="Body Text 2 Char"/>
    <w:basedOn w:val="DefaultParagraphFont"/>
    <w:link w:val="BodyText2"/>
    <w:uiPriority w:val="99"/>
    <w:semiHidden/>
    <w:rsid w:val="002849C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19A3"/>
    <w:rPr>
      <w:lang w:eastAsia="en-US"/>
    </w:rPr>
  </w:style>
  <w:style w:type="paragraph" w:styleId="Heading1">
    <w:name w:val="heading 1"/>
    <w:basedOn w:val="Normal"/>
    <w:next w:val="Normal"/>
    <w:link w:val="Heading1Char"/>
    <w:uiPriority w:val="99"/>
    <w:qFormat/>
    <w:rsid w:val="00636370"/>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DC6FE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91874"/>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370"/>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DC6FEB"/>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491874"/>
    <w:rPr>
      <w:rFonts w:ascii="Cambria" w:hAnsi="Cambria" w:cs="Times New Roman"/>
      <w:b/>
      <w:bCs/>
      <w:i/>
      <w:iCs/>
      <w:color w:val="4F81BD"/>
    </w:rPr>
  </w:style>
  <w:style w:type="paragraph" w:styleId="BalloonText">
    <w:name w:val="Balloon Text"/>
    <w:basedOn w:val="Normal"/>
    <w:link w:val="BalloonTextChar"/>
    <w:uiPriority w:val="99"/>
    <w:semiHidden/>
    <w:rsid w:val="009E51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10E"/>
    <w:rPr>
      <w:rFonts w:ascii="Tahoma" w:hAnsi="Tahoma" w:cs="Tahoma"/>
      <w:sz w:val="16"/>
      <w:szCs w:val="16"/>
    </w:rPr>
  </w:style>
  <w:style w:type="paragraph" w:styleId="TOCHeading">
    <w:name w:val="TOC Heading"/>
    <w:basedOn w:val="Heading1"/>
    <w:next w:val="Normal"/>
    <w:uiPriority w:val="99"/>
    <w:qFormat/>
    <w:rsid w:val="00636370"/>
    <w:pPr>
      <w:spacing w:line="276" w:lineRule="auto"/>
      <w:outlineLvl w:val="9"/>
    </w:pPr>
    <w:rPr>
      <w:lang w:val="en-US" w:eastAsia="ja-JP"/>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99"/>
    <w:qFormat/>
    <w:rsid w:val="00702A84"/>
    <w:pPr>
      <w:ind w:left="720"/>
      <w:contextualSpacing/>
    </w:pPr>
  </w:style>
  <w:style w:type="paragraph" w:customStyle="1" w:styleId="Default">
    <w:name w:val="Default"/>
    <w:rsid w:val="000936AF"/>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3D66C8"/>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5F7CC1"/>
    <w:rPr>
      <w:rFonts w:cs="Times New Roman"/>
      <w:sz w:val="16"/>
      <w:szCs w:val="16"/>
    </w:rPr>
  </w:style>
  <w:style w:type="paragraph" w:styleId="CommentText">
    <w:name w:val="annotation text"/>
    <w:basedOn w:val="Normal"/>
    <w:link w:val="CommentTextChar"/>
    <w:uiPriority w:val="99"/>
    <w:rsid w:val="005F7CC1"/>
    <w:rPr>
      <w:sz w:val="20"/>
      <w:szCs w:val="20"/>
    </w:rPr>
  </w:style>
  <w:style w:type="character" w:customStyle="1" w:styleId="CommentTextChar">
    <w:name w:val="Comment Text Char"/>
    <w:basedOn w:val="DefaultParagraphFont"/>
    <w:link w:val="CommentText"/>
    <w:uiPriority w:val="99"/>
    <w:locked/>
    <w:rsid w:val="005F7CC1"/>
    <w:rPr>
      <w:rFonts w:cs="Times New Roman"/>
      <w:sz w:val="20"/>
      <w:szCs w:val="20"/>
    </w:rPr>
  </w:style>
  <w:style w:type="paragraph" w:styleId="CommentSubject">
    <w:name w:val="annotation subject"/>
    <w:basedOn w:val="CommentText"/>
    <w:next w:val="CommentText"/>
    <w:link w:val="CommentSubjectChar"/>
    <w:uiPriority w:val="99"/>
    <w:semiHidden/>
    <w:rsid w:val="005F7CC1"/>
    <w:rPr>
      <w:b/>
      <w:bCs/>
    </w:rPr>
  </w:style>
  <w:style w:type="character" w:customStyle="1" w:styleId="CommentSubjectChar">
    <w:name w:val="Comment Subject Char"/>
    <w:basedOn w:val="CommentTextChar"/>
    <w:link w:val="CommentSubject"/>
    <w:uiPriority w:val="99"/>
    <w:semiHidden/>
    <w:locked/>
    <w:rsid w:val="005F7CC1"/>
    <w:rPr>
      <w:rFonts w:cs="Times New Roman"/>
      <w:b/>
      <w:bCs/>
      <w:sz w:val="20"/>
      <w:szCs w:val="20"/>
    </w:rPr>
  </w:style>
  <w:style w:type="character" w:styleId="Hyperlink">
    <w:name w:val="Hyperlink"/>
    <w:basedOn w:val="DefaultParagraphFont"/>
    <w:uiPriority w:val="99"/>
    <w:rsid w:val="00D91EB4"/>
    <w:rPr>
      <w:rFonts w:cs="Times New Roman"/>
      <w:color w:val="0000FF"/>
      <w:u w:val="single"/>
    </w:rPr>
  </w:style>
  <w:style w:type="character" w:styleId="Strong">
    <w:name w:val="Strong"/>
    <w:basedOn w:val="DefaultParagraphFont"/>
    <w:uiPriority w:val="99"/>
    <w:qFormat/>
    <w:rsid w:val="00FF02B0"/>
    <w:rPr>
      <w:rFonts w:cs="Times New Roman"/>
      <w:b/>
      <w:bCs/>
    </w:rPr>
  </w:style>
  <w:style w:type="paragraph" w:styleId="FootnoteText">
    <w:name w:val="footnote text"/>
    <w:basedOn w:val="Normal"/>
    <w:link w:val="FootnoteTextChar"/>
    <w:uiPriority w:val="99"/>
    <w:semiHidden/>
    <w:rsid w:val="00C65090"/>
    <w:rPr>
      <w:sz w:val="20"/>
      <w:szCs w:val="20"/>
    </w:rPr>
  </w:style>
  <w:style w:type="character" w:customStyle="1" w:styleId="FootnoteTextChar">
    <w:name w:val="Footnote Text Char"/>
    <w:basedOn w:val="DefaultParagraphFont"/>
    <w:link w:val="FootnoteText"/>
    <w:uiPriority w:val="99"/>
    <w:semiHidden/>
    <w:locked/>
    <w:rsid w:val="00C65090"/>
    <w:rPr>
      <w:rFonts w:cs="Times New Roman"/>
      <w:sz w:val="20"/>
      <w:szCs w:val="20"/>
    </w:rPr>
  </w:style>
  <w:style w:type="character" w:styleId="FootnoteReference">
    <w:name w:val="footnote reference"/>
    <w:basedOn w:val="DefaultParagraphFont"/>
    <w:uiPriority w:val="99"/>
    <w:semiHidden/>
    <w:rsid w:val="00C65090"/>
    <w:rPr>
      <w:rFonts w:cs="Times New Roman"/>
      <w:vertAlign w:val="superscript"/>
    </w:rPr>
  </w:style>
  <w:style w:type="character" w:styleId="FollowedHyperlink">
    <w:name w:val="FollowedHyperlink"/>
    <w:basedOn w:val="DefaultParagraphFont"/>
    <w:uiPriority w:val="99"/>
    <w:semiHidden/>
    <w:rsid w:val="00464529"/>
    <w:rPr>
      <w:rFonts w:cs="Times New Roman"/>
      <w:color w:val="800080"/>
      <w:u w:val="single"/>
    </w:rPr>
  </w:style>
  <w:style w:type="paragraph" w:styleId="TOC3">
    <w:name w:val="toc 3"/>
    <w:basedOn w:val="Normal"/>
    <w:next w:val="Normal"/>
    <w:autoRedefine/>
    <w:uiPriority w:val="99"/>
    <w:rsid w:val="000B1B50"/>
    <w:pPr>
      <w:spacing w:after="100"/>
      <w:ind w:left="440"/>
    </w:pPr>
  </w:style>
  <w:style w:type="paragraph" w:styleId="EndnoteText">
    <w:name w:val="endnote text"/>
    <w:basedOn w:val="Normal"/>
    <w:link w:val="EndnoteTextChar"/>
    <w:uiPriority w:val="99"/>
    <w:semiHidden/>
    <w:rsid w:val="00444B78"/>
    <w:rPr>
      <w:sz w:val="20"/>
      <w:szCs w:val="20"/>
    </w:rPr>
  </w:style>
  <w:style w:type="character" w:customStyle="1" w:styleId="EndnoteTextChar">
    <w:name w:val="Endnote Text Char"/>
    <w:basedOn w:val="DefaultParagraphFont"/>
    <w:link w:val="EndnoteText"/>
    <w:uiPriority w:val="99"/>
    <w:semiHidden/>
    <w:locked/>
    <w:rsid w:val="00444B78"/>
    <w:rPr>
      <w:rFonts w:cs="Times New Roman"/>
      <w:sz w:val="20"/>
      <w:szCs w:val="20"/>
    </w:rPr>
  </w:style>
  <w:style w:type="character" w:styleId="EndnoteReference">
    <w:name w:val="endnote reference"/>
    <w:basedOn w:val="DefaultParagraphFont"/>
    <w:uiPriority w:val="99"/>
    <w:semiHidden/>
    <w:rsid w:val="00444B78"/>
    <w:rPr>
      <w:rFonts w:cs="Times New Roman"/>
      <w:vertAlign w:val="superscript"/>
    </w:rPr>
  </w:style>
  <w:style w:type="paragraph" w:customStyle="1" w:styleId="top">
    <w:name w:val="top"/>
    <w:basedOn w:val="Normal"/>
    <w:uiPriority w:val="99"/>
    <w:rsid w:val="00CD4CB0"/>
    <w:pPr>
      <w:shd w:val="clear" w:color="auto" w:fill="FFFFFF"/>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rsid w:val="00375AB7"/>
    <w:pPr>
      <w:tabs>
        <w:tab w:val="center" w:pos="4513"/>
        <w:tab w:val="right" w:pos="9026"/>
      </w:tabs>
    </w:pPr>
  </w:style>
  <w:style w:type="character" w:customStyle="1" w:styleId="HeaderChar">
    <w:name w:val="Header Char"/>
    <w:basedOn w:val="DefaultParagraphFont"/>
    <w:link w:val="Header"/>
    <w:uiPriority w:val="99"/>
    <w:locked/>
    <w:rsid w:val="00375AB7"/>
    <w:rPr>
      <w:rFonts w:cs="Times New Roman"/>
    </w:rPr>
  </w:style>
  <w:style w:type="paragraph" w:styleId="Footer">
    <w:name w:val="footer"/>
    <w:basedOn w:val="Normal"/>
    <w:link w:val="FooterChar"/>
    <w:uiPriority w:val="99"/>
    <w:rsid w:val="00375AB7"/>
    <w:pPr>
      <w:tabs>
        <w:tab w:val="center" w:pos="4513"/>
        <w:tab w:val="right" w:pos="9026"/>
      </w:tabs>
    </w:pPr>
  </w:style>
  <w:style w:type="character" w:customStyle="1" w:styleId="FooterChar">
    <w:name w:val="Footer Char"/>
    <w:basedOn w:val="DefaultParagraphFont"/>
    <w:link w:val="Footer"/>
    <w:uiPriority w:val="99"/>
    <w:locked/>
    <w:rsid w:val="00375AB7"/>
    <w:rPr>
      <w:rFonts w:cs="Times New Roman"/>
    </w:rPr>
  </w:style>
  <w:style w:type="character" w:styleId="HTMLAcronym">
    <w:name w:val="HTML Acronym"/>
    <w:basedOn w:val="DefaultParagraphFont"/>
    <w:uiPriority w:val="99"/>
    <w:semiHidden/>
    <w:rsid w:val="00375AB7"/>
    <w:rPr>
      <w:rFonts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locked/>
    <w:rsid w:val="007C0BBE"/>
    <w:rPr>
      <w:rFonts w:cs="Times New Roman"/>
    </w:rPr>
  </w:style>
  <w:style w:type="character" w:styleId="HTMLCite">
    <w:name w:val="HTML Cite"/>
    <w:basedOn w:val="DefaultParagraphFont"/>
    <w:uiPriority w:val="99"/>
    <w:semiHidden/>
    <w:unhideWhenUsed/>
    <w:rsid w:val="00E87F14"/>
    <w:rPr>
      <w:i/>
      <w:iCs/>
    </w:rPr>
  </w:style>
  <w:style w:type="paragraph" w:styleId="BodyText2">
    <w:name w:val="Body Text 2"/>
    <w:basedOn w:val="Normal"/>
    <w:link w:val="BodyText2Char"/>
    <w:uiPriority w:val="99"/>
    <w:semiHidden/>
    <w:unhideWhenUsed/>
    <w:rsid w:val="002849CF"/>
    <w:pPr>
      <w:spacing w:after="120" w:line="480" w:lineRule="auto"/>
    </w:pPr>
  </w:style>
  <w:style w:type="character" w:customStyle="1" w:styleId="BodyText2Char">
    <w:name w:val="Body Text 2 Char"/>
    <w:basedOn w:val="DefaultParagraphFont"/>
    <w:link w:val="BodyText2"/>
    <w:uiPriority w:val="99"/>
    <w:semiHidden/>
    <w:rsid w:val="00284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9448">
      <w:bodyDiv w:val="1"/>
      <w:marLeft w:val="0"/>
      <w:marRight w:val="0"/>
      <w:marTop w:val="0"/>
      <w:marBottom w:val="0"/>
      <w:divBdr>
        <w:top w:val="none" w:sz="0" w:space="0" w:color="auto"/>
        <w:left w:val="none" w:sz="0" w:space="0" w:color="auto"/>
        <w:bottom w:val="none" w:sz="0" w:space="0" w:color="auto"/>
        <w:right w:val="none" w:sz="0" w:space="0" w:color="auto"/>
      </w:divBdr>
    </w:div>
    <w:div w:id="559245884">
      <w:marLeft w:val="0"/>
      <w:marRight w:val="0"/>
      <w:marTop w:val="0"/>
      <w:marBottom w:val="0"/>
      <w:divBdr>
        <w:top w:val="none" w:sz="0" w:space="0" w:color="auto"/>
        <w:left w:val="none" w:sz="0" w:space="0" w:color="auto"/>
        <w:bottom w:val="none" w:sz="0" w:space="0" w:color="auto"/>
        <w:right w:val="none" w:sz="0" w:space="0" w:color="auto"/>
      </w:divBdr>
      <w:divsChild>
        <w:div w:id="559245883">
          <w:marLeft w:val="0"/>
          <w:marRight w:val="0"/>
          <w:marTop w:val="0"/>
          <w:marBottom w:val="0"/>
          <w:divBdr>
            <w:top w:val="none" w:sz="0" w:space="0" w:color="auto"/>
            <w:left w:val="none" w:sz="0" w:space="0" w:color="auto"/>
            <w:bottom w:val="none" w:sz="0" w:space="0" w:color="auto"/>
            <w:right w:val="none" w:sz="0" w:space="0" w:color="auto"/>
          </w:divBdr>
          <w:divsChild>
            <w:div w:id="559245882">
              <w:marLeft w:val="0"/>
              <w:marRight w:val="0"/>
              <w:marTop w:val="0"/>
              <w:marBottom w:val="0"/>
              <w:divBdr>
                <w:top w:val="none" w:sz="0" w:space="0" w:color="auto"/>
                <w:left w:val="none" w:sz="0" w:space="0" w:color="auto"/>
                <w:bottom w:val="none" w:sz="0" w:space="0" w:color="auto"/>
                <w:right w:val="none" w:sz="0" w:space="0" w:color="auto"/>
              </w:divBdr>
              <w:divsChild>
                <w:div w:id="559245880">
                  <w:marLeft w:val="0"/>
                  <w:marRight w:val="0"/>
                  <w:marTop w:val="0"/>
                  <w:marBottom w:val="0"/>
                  <w:divBdr>
                    <w:top w:val="none" w:sz="0" w:space="0" w:color="auto"/>
                    <w:left w:val="none" w:sz="0" w:space="0" w:color="auto"/>
                    <w:bottom w:val="none" w:sz="0" w:space="0" w:color="auto"/>
                    <w:right w:val="none" w:sz="0" w:space="0" w:color="auto"/>
                  </w:divBdr>
                  <w:divsChild>
                    <w:div w:id="5592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889">
      <w:marLeft w:val="0"/>
      <w:marRight w:val="0"/>
      <w:marTop w:val="0"/>
      <w:marBottom w:val="0"/>
      <w:divBdr>
        <w:top w:val="none" w:sz="0" w:space="0" w:color="auto"/>
        <w:left w:val="none" w:sz="0" w:space="0" w:color="auto"/>
        <w:bottom w:val="none" w:sz="0" w:space="0" w:color="auto"/>
        <w:right w:val="none" w:sz="0" w:space="0" w:color="auto"/>
      </w:divBdr>
    </w:div>
    <w:div w:id="559245890">
      <w:marLeft w:val="0"/>
      <w:marRight w:val="0"/>
      <w:marTop w:val="0"/>
      <w:marBottom w:val="0"/>
      <w:divBdr>
        <w:top w:val="none" w:sz="0" w:space="0" w:color="auto"/>
        <w:left w:val="none" w:sz="0" w:space="0" w:color="auto"/>
        <w:bottom w:val="none" w:sz="0" w:space="0" w:color="auto"/>
        <w:right w:val="none" w:sz="0" w:space="0" w:color="auto"/>
      </w:divBdr>
    </w:div>
    <w:div w:id="559245892">
      <w:marLeft w:val="0"/>
      <w:marRight w:val="0"/>
      <w:marTop w:val="0"/>
      <w:marBottom w:val="0"/>
      <w:divBdr>
        <w:top w:val="none" w:sz="0" w:space="0" w:color="auto"/>
        <w:left w:val="none" w:sz="0" w:space="0" w:color="auto"/>
        <w:bottom w:val="none" w:sz="0" w:space="0" w:color="auto"/>
        <w:right w:val="none" w:sz="0" w:space="0" w:color="auto"/>
      </w:divBdr>
    </w:div>
    <w:div w:id="559245898">
      <w:marLeft w:val="0"/>
      <w:marRight w:val="0"/>
      <w:marTop w:val="0"/>
      <w:marBottom w:val="0"/>
      <w:divBdr>
        <w:top w:val="none" w:sz="0" w:space="0" w:color="auto"/>
        <w:left w:val="none" w:sz="0" w:space="0" w:color="auto"/>
        <w:bottom w:val="none" w:sz="0" w:space="0" w:color="auto"/>
        <w:right w:val="none" w:sz="0" w:space="0" w:color="auto"/>
      </w:divBdr>
      <w:divsChild>
        <w:div w:id="559245978">
          <w:marLeft w:val="0"/>
          <w:marRight w:val="0"/>
          <w:marTop w:val="0"/>
          <w:marBottom w:val="0"/>
          <w:divBdr>
            <w:top w:val="none" w:sz="0" w:space="0" w:color="auto"/>
            <w:left w:val="none" w:sz="0" w:space="0" w:color="auto"/>
            <w:bottom w:val="none" w:sz="0" w:space="0" w:color="auto"/>
            <w:right w:val="none" w:sz="0" w:space="0" w:color="auto"/>
          </w:divBdr>
          <w:divsChild>
            <w:div w:id="559245948">
              <w:marLeft w:val="0"/>
              <w:marRight w:val="0"/>
              <w:marTop w:val="0"/>
              <w:marBottom w:val="0"/>
              <w:divBdr>
                <w:top w:val="none" w:sz="0" w:space="0" w:color="auto"/>
                <w:left w:val="none" w:sz="0" w:space="0" w:color="auto"/>
                <w:bottom w:val="none" w:sz="0" w:space="0" w:color="auto"/>
                <w:right w:val="none" w:sz="0" w:space="0" w:color="auto"/>
              </w:divBdr>
              <w:divsChild>
                <w:div w:id="559245991">
                  <w:marLeft w:val="0"/>
                  <w:marRight w:val="0"/>
                  <w:marTop w:val="0"/>
                  <w:marBottom w:val="0"/>
                  <w:divBdr>
                    <w:top w:val="none" w:sz="0" w:space="0" w:color="auto"/>
                    <w:left w:val="none" w:sz="0" w:space="0" w:color="auto"/>
                    <w:bottom w:val="none" w:sz="0" w:space="0" w:color="auto"/>
                    <w:right w:val="none" w:sz="0" w:space="0" w:color="auto"/>
                  </w:divBdr>
                  <w:divsChild>
                    <w:div w:id="5592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00">
      <w:marLeft w:val="0"/>
      <w:marRight w:val="0"/>
      <w:marTop w:val="0"/>
      <w:marBottom w:val="0"/>
      <w:divBdr>
        <w:top w:val="none" w:sz="0" w:space="0" w:color="auto"/>
        <w:left w:val="none" w:sz="0" w:space="0" w:color="auto"/>
        <w:bottom w:val="none" w:sz="0" w:space="0" w:color="auto"/>
        <w:right w:val="none" w:sz="0" w:space="0" w:color="auto"/>
      </w:divBdr>
      <w:divsChild>
        <w:div w:id="559245919">
          <w:marLeft w:val="0"/>
          <w:marRight w:val="0"/>
          <w:marTop w:val="0"/>
          <w:marBottom w:val="0"/>
          <w:divBdr>
            <w:top w:val="none" w:sz="0" w:space="0" w:color="auto"/>
            <w:left w:val="none" w:sz="0" w:space="0" w:color="auto"/>
            <w:bottom w:val="none" w:sz="0" w:space="0" w:color="auto"/>
            <w:right w:val="none" w:sz="0" w:space="0" w:color="auto"/>
          </w:divBdr>
          <w:divsChild>
            <w:div w:id="559245997">
              <w:marLeft w:val="0"/>
              <w:marRight w:val="0"/>
              <w:marTop w:val="0"/>
              <w:marBottom w:val="0"/>
              <w:divBdr>
                <w:top w:val="none" w:sz="0" w:space="0" w:color="auto"/>
                <w:left w:val="none" w:sz="0" w:space="0" w:color="auto"/>
                <w:bottom w:val="none" w:sz="0" w:space="0" w:color="auto"/>
                <w:right w:val="none" w:sz="0" w:space="0" w:color="auto"/>
              </w:divBdr>
              <w:divsChild>
                <w:div w:id="559245983">
                  <w:marLeft w:val="0"/>
                  <w:marRight w:val="0"/>
                  <w:marTop w:val="0"/>
                  <w:marBottom w:val="0"/>
                  <w:divBdr>
                    <w:top w:val="none" w:sz="0" w:space="0" w:color="auto"/>
                    <w:left w:val="none" w:sz="0" w:space="0" w:color="auto"/>
                    <w:bottom w:val="none" w:sz="0" w:space="0" w:color="auto"/>
                    <w:right w:val="none" w:sz="0" w:space="0" w:color="auto"/>
                  </w:divBdr>
                  <w:divsChild>
                    <w:div w:id="5592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12">
      <w:marLeft w:val="0"/>
      <w:marRight w:val="0"/>
      <w:marTop w:val="0"/>
      <w:marBottom w:val="0"/>
      <w:divBdr>
        <w:top w:val="none" w:sz="0" w:space="0" w:color="auto"/>
        <w:left w:val="none" w:sz="0" w:space="0" w:color="auto"/>
        <w:bottom w:val="none" w:sz="0" w:space="0" w:color="auto"/>
        <w:right w:val="none" w:sz="0" w:space="0" w:color="auto"/>
      </w:divBdr>
      <w:divsChild>
        <w:div w:id="559245918">
          <w:marLeft w:val="0"/>
          <w:marRight w:val="0"/>
          <w:marTop w:val="0"/>
          <w:marBottom w:val="0"/>
          <w:divBdr>
            <w:top w:val="none" w:sz="0" w:space="0" w:color="auto"/>
            <w:left w:val="none" w:sz="0" w:space="0" w:color="auto"/>
            <w:bottom w:val="none" w:sz="0" w:space="0" w:color="auto"/>
            <w:right w:val="none" w:sz="0" w:space="0" w:color="auto"/>
          </w:divBdr>
          <w:divsChild>
            <w:div w:id="559245929">
              <w:marLeft w:val="0"/>
              <w:marRight w:val="0"/>
              <w:marTop w:val="0"/>
              <w:marBottom w:val="0"/>
              <w:divBdr>
                <w:top w:val="none" w:sz="0" w:space="0" w:color="auto"/>
                <w:left w:val="none" w:sz="0" w:space="0" w:color="auto"/>
                <w:bottom w:val="none" w:sz="0" w:space="0" w:color="auto"/>
                <w:right w:val="none" w:sz="0" w:space="0" w:color="auto"/>
              </w:divBdr>
              <w:divsChild>
                <w:div w:id="559246018">
                  <w:marLeft w:val="0"/>
                  <w:marRight w:val="0"/>
                  <w:marTop w:val="0"/>
                  <w:marBottom w:val="0"/>
                  <w:divBdr>
                    <w:top w:val="none" w:sz="0" w:space="0" w:color="auto"/>
                    <w:left w:val="none" w:sz="0" w:space="0" w:color="auto"/>
                    <w:bottom w:val="none" w:sz="0" w:space="0" w:color="auto"/>
                    <w:right w:val="none" w:sz="0" w:space="0" w:color="auto"/>
                  </w:divBdr>
                  <w:divsChild>
                    <w:div w:id="5592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15">
      <w:marLeft w:val="0"/>
      <w:marRight w:val="0"/>
      <w:marTop w:val="0"/>
      <w:marBottom w:val="0"/>
      <w:divBdr>
        <w:top w:val="none" w:sz="0" w:space="0" w:color="auto"/>
        <w:left w:val="none" w:sz="0" w:space="0" w:color="auto"/>
        <w:bottom w:val="none" w:sz="0" w:space="0" w:color="auto"/>
        <w:right w:val="none" w:sz="0" w:space="0" w:color="auto"/>
      </w:divBdr>
      <w:divsChild>
        <w:div w:id="559245938">
          <w:marLeft w:val="0"/>
          <w:marRight w:val="0"/>
          <w:marTop w:val="0"/>
          <w:marBottom w:val="0"/>
          <w:divBdr>
            <w:top w:val="none" w:sz="0" w:space="0" w:color="auto"/>
            <w:left w:val="none" w:sz="0" w:space="0" w:color="auto"/>
            <w:bottom w:val="none" w:sz="0" w:space="0" w:color="auto"/>
            <w:right w:val="none" w:sz="0" w:space="0" w:color="auto"/>
          </w:divBdr>
          <w:divsChild>
            <w:div w:id="559245910">
              <w:marLeft w:val="0"/>
              <w:marRight w:val="0"/>
              <w:marTop w:val="0"/>
              <w:marBottom w:val="0"/>
              <w:divBdr>
                <w:top w:val="none" w:sz="0" w:space="0" w:color="auto"/>
                <w:left w:val="none" w:sz="0" w:space="0" w:color="auto"/>
                <w:bottom w:val="none" w:sz="0" w:space="0" w:color="auto"/>
                <w:right w:val="none" w:sz="0" w:space="0" w:color="auto"/>
              </w:divBdr>
              <w:divsChild>
                <w:div w:id="559245982">
                  <w:marLeft w:val="0"/>
                  <w:marRight w:val="0"/>
                  <w:marTop w:val="0"/>
                  <w:marBottom w:val="0"/>
                  <w:divBdr>
                    <w:top w:val="none" w:sz="0" w:space="0" w:color="auto"/>
                    <w:left w:val="none" w:sz="0" w:space="0" w:color="auto"/>
                    <w:bottom w:val="none" w:sz="0" w:space="0" w:color="auto"/>
                    <w:right w:val="none" w:sz="0" w:space="0" w:color="auto"/>
                  </w:divBdr>
                  <w:divsChild>
                    <w:div w:id="5592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16">
      <w:marLeft w:val="0"/>
      <w:marRight w:val="0"/>
      <w:marTop w:val="0"/>
      <w:marBottom w:val="0"/>
      <w:divBdr>
        <w:top w:val="none" w:sz="0" w:space="0" w:color="auto"/>
        <w:left w:val="none" w:sz="0" w:space="0" w:color="auto"/>
        <w:bottom w:val="none" w:sz="0" w:space="0" w:color="auto"/>
        <w:right w:val="none" w:sz="0" w:space="0" w:color="auto"/>
      </w:divBdr>
      <w:divsChild>
        <w:div w:id="559245906">
          <w:marLeft w:val="0"/>
          <w:marRight w:val="0"/>
          <w:marTop w:val="0"/>
          <w:marBottom w:val="0"/>
          <w:divBdr>
            <w:top w:val="none" w:sz="0" w:space="0" w:color="auto"/>
            <w:left w:val="none" w:sz="0" w:space="0" w:color="auto"/>
            <w:bottom w:val="none" w:sz="0" w:space="0" w:color="auto"/>
            <w:right w:val="none" w:sz="0" w:space="0" w:color="auto"/>
          </w:divBdr>
          <w:divsChild>
            <w:div w:id="559245955">
              <w:marLeft w:val="0"/>
              <w:marRight w:val="0"/>
              <w:marTop w:val="0"/>
              <w:marBottom w:val="0"/>
              <w:divBdr>
                <w:top w:val="none" w:sz="0" w:space="0" w:color="auto"/>
                <w:left w:val="none" w:sz="0" w:space="0" w:color="auto"/>
                <w:bottom w:val="none" w:sz="0" w:space="0" w:color="auto"/>
                <w:right w:val="none" w:sz="0" w:space="0" w:color="auto"/>
              </w:divBdr>
              <w:divsChild>
                <w:div w:id="559245943">
                  <w:marLeft w:val="0"/>
                  <w:marRight w:val="0"/>
                  <w:marTop w:val="0"/>
                  <w:marBottom w:val="0"/>
                  <w:divBdr>
                    <w:top w:val="none" w:sz="0" w:space="0" w:color="auto"/>
                    <w:left w:val="none" w:sz="0" w:space="0" w:color="auto"/>
                    <w:bottom w:val="none" w:sz="0" w:space="0" w:color="auto"/>
                    <w:right w:val="none" w:sz="0" w:space="0" w:color="auto"/>
                  </w:divBdr>
                  <w:divsChild>
                    <w:div w:id="5592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20">
      <w:marLeft w:val="0"/>
      <w:marRight w:val="0"/>
      <w:marTop w:val="0"/>
      <w:marBottom w:val="0"/>
      <w:divBdr>
        <w:top w:val="none" w:sz="0" w:space="0" w:color="auto"/>
        <w:left w:val="none" w:sz="0" w:space="0" w:color="auto"/>
        <w:bottom w:val="none" w:sz="0" w:space="0" w:color="auto"/>
        <w:right w:val="none" w:sz="0" w:space="0" w:color="auto"/>
      </w:divBdr>
      <w:divsChild>
        <w:div w:id="559245904">
          <w:marLeft w:val="0"/>
          <w:marRight w:val="0"/>
          <w:marTop w:val="0"/>
          <w:marBottom w:val="0"/>
          <w:divBdr>
            <w:top w:val="none" w:sz="0" w:space="0" w:color="auto"/>
            <w:left w:val="none" w:sz="0" w:space="0" w:color="auto"/>
            <w:bottom w:val="none" w:sz="0" w:space="0" w:color="auto"/>
            <w:right w:val="none" w:sz="0" w:space="0" w:color="auto"/>
          </w:divBdr>
          <w:divsChild>
            <w:div w:id="559246005">
              <w:marLeft w:val="0"/>
              <w:marRight w:val="0"/>
              <w:marTop w:val="0"/>
              <w:marBottom w:val="0"/>
              <w:divBdr>
                <w:top w:val="none" w:sz="0" w:space="0" w:color="auto"/>
                <w:left w:val="none" w:sz="0" w:space="0" w:color="auto"/>
                <w:bottom w:val="none" w:sz="0" w:space="0" w:color="auto"/>
                <w:right w:val="none" w:sz="0" w:space="0" w:color="auto"/>
              </w:divBdr>
              <w:divsChild>
                <w:div w:id="559245939">
                  <w:marLeft w:val="0"/>
                  <w:marRight w:val="0"/>
                  <w:marTop w:val="0"/>
                  <w:marBottom w:val="0"/>
                  <w:divBdr>
                    <w:top w:val="none" w:sz="0" w:space="0" w:color="auto"/>
                    <w:left w:val="none" w:sz="0" w:space="0" w:color="auto"/>
                    <w:bottom w:val="none" w:sz="0" w:space="0" w:color="auto"/>
                    <w:right w:val="none" w:sz="0" w:space="0" w:color="auto"/>
                  </w:divBdr>
                  <w:divsChild>
                    <w:div w:id="559246013">
                      <w:marLeft w:val="0"/>
                      <w:marRight w:val="0"/>
                      <w:marTop w:val="0"/>
                      <w:marBottom w:val="0"/>
                      <w:divBdr>
                        <w:top w:val="none" w:sz="0" w:space="0" w:color="auto"/>
                        <w:left w:val="none" w:sz="0" w:space="0" w:color="auto"/>
                        <w:bottom w:val="none" w:sz="0" w:space="0" w:color="auto"/>
                        <w:right w:val="none" w:sz="0" w:space="0" w:color="auto"/>
                      </w:divBdr>
                      <w:divsChild>
                        <w:div w:id="559245964">
                          <w:marLeft w:val="720"/>
                          <w:marRight w:val="720"/>
                          <w:marTop w:val="100"/>
                          <w:marBottom w:val="100"/>
                          <w:divBdr>
                            <w:top w:val="none" w:sz="0" w:space="0" w:color="auto"/>
                            <w:left w:val="none" w:sz="0" w:space="0" w:color="auto"/>
                            <w:bottom w:val="none" w:sz="0" w:space="0" w:color="auto"/>
                            <w:right w:val="none" w:sz="0" w:space="0" w:color="auto"/>
                          </w:divBdr>
                        </w:div>
                        <w:div w:id="55924600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9245923">
      <w:marLeft w:val="0"/>
      <w:marRight w:val="0"/>
      <w:marTop w:val="0"/>
      <w:marBottom w:val="0"/>
      <w:divBdr>
        <w:top w:val="none" w:sz="0" w:space="0" w:color="auto"/>
        <w:left w:val="none" w:sz="0" w:space="0" w:color="auto"/>
        <w:bottom w:val="none" w:sz="0" w:space="0" w:color="auto"/>
        <w:right w:val="none" w:sz="0" w:space="0" w:color="auto"/>
      </w:divBdr>
    </w:div>
    <w:div w:id="559245927">
      <w:marLeft w:val="0"/>
      <w:marRight w:val="0"/>
      <w:marTop w:val="0"/>
      <w:marBottom w:val="0"/>
      <w:divBdr>
        <w:top w:val="none" w:sz="0" w:space="0" w:color="auto"/>
        <w:left w:val="none" w:sz="0" w:space="0" w:color="auto"/>
        <w:bottom w:val="none" w:sz="0" w:space="0" w:color="auto"/>
        <w:right w:val="none" w:sz="0" w:space="0" w:color="auto"/>
      </w:divBdr>
    </w:div>
    <w:div w:id="559245934">
      <w:marLeft w:val="0"/>
      <w:marRight w:val="0"/>
      <w:marTop w:val="0"/>
      <w:marBottom w:val="0"/>
      <w:divBdr>
        <w:top w:val="none" w:sz="0" w:space="0" w:color="auto"/>
        <w:left w:val="none" w:sz="0" w:space="0" w:color="auto"/>
        <w:bottom w:val="none" w:sz="0" w:space="0" w:color="auto"/>
        <w:right w:val="none" w:sz="0" w:space="0" w:color="auto"/>
      </w:divBdr>
    </w:div>
    <w:div w:id="559245949">
      <w:marLeft w:val="0"/>
      <w:marRight w:val="0"/>
      <w:marTop w:val="0"/>
      <w:marBottom w:val="0"/>
      <w:divBdr>
        <w:top w:val="none" w:sz="0" w:space="0" w:color="auto"/>
        <w:left w:val="none" w:sz="0" w:space="0" w:color="auto"/>
        <w:bottom w:val="none" w:sz="0" w:space="0" w:color="auto"/>
        <w:right w:val="none" w:sz="0" w:space="0" w:color="auto"/>
      </w:divBdr>
      <w:divsChild>
        <w:div w:id="559245901">
          <w:marLeft w:val="0"/>
          <w:marRight w:val="0"/>
          <w:marTop w:val="0"/>
          <w:marBottom w:val="0"/>
          <w:divBdr>
            <w:top w:val="none" w:sz="0" w:space="0" w:color="auto"/>
            <w:left w:val="none" w:sz="0" w:space="0" w:color="auto"/>
            <w:bottom w:val="none" w:sz="0" w:space="0" w:color="auto"/>
            <w:right w:val="none" w:sz="0" w:space="0" w:color="auto"/>
          </w:divBdr>
          <w:divsChild>
            <w:div w:id="559245887">
              <w:marLeft w:val="0"/>
              <w:marRight w:val="0"/>
              <w:marTop w:val="0"/>
              <w:marBottom w:val="0"/>
              <w:divBdr>
                <w:top w:val="none" w:sz="0" w:space="0" w:color="auto"/>
                <w:left w:val="none" w:sz="0" w:space="0" w:color="auto"/>
                <w:bottom w:val="none" w:sz="0" w:space="0" w:color="auto"/>
                <w:right w:val="none" w:sz="0" w:space="0" w:color="auto"/>
              </w:divBdr>
              <w:divsChild>
                <w:div w:id="559245979">
                  <w:marLeft w:val="0"/>
                  <w:marRight w:val="0"/>
                  <w:marTop w:val="0"/>
                  <w:marBottom w:val="0"/>
                  <w:divBdr>
                    <w:top w:val="none" w:sz="0" w:space="0" w:color="auto"/>
                    <w:left w:val="none" w:sz="0" w:space="0" w:color="auto"/>
                    <w:bottom w:val="none" w:sz="0" w:space="0" w:color="auto"/>
                    <w:right w:val="none" w:sz="0" w:space="0" w:color="auto"/>
                  </w:divBdr>
                  <w:divsChild>
                    <w:div w:id="559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52">
      <w:marLeft w:val="0"/>
      <w:marRight w:val="0"/>
      <w:marTop w:val="0"/>
      <w:marBottom w:val="0"/>
      <w:divBdr>
        <w:top w:val="none" w:sz="0" w:space="0" w:color="auto"/>
        <w:left w:val="none" w:sz="0" w:space="0" w:color="auto"/>
        <w:bottom w:val="none" w:sz="0" w:space="0" w:color="auto"/>
        <w:right w:val="none" w:sz="0" w:space="0" w:color="auto"/>
      </w:divBdr>
      <w:divsChild>
        <w:div w:id="559245941">
          <w:marLeft w:val="0"/>
          <w:marRight w:val="0"/>
          <w:marTop w:val="0"/>
          <w:marBottom w:val="0"/>
          <w:divBdr>
            <w:top w:val="none" w:sz="0" w:space="0" w:color="auto"/>
            <w:left w:val="none" w:sz="0" w:space="0" w:color="auto"/>
            <w:bottom w:val="none" w:sz="0" w:space="0" w:color="auto"/>
            <w:right w:val="none" w:sz="0" w:space="0" w:color="auto"/>
          </w:divBdr>
          <w:divsChild>
            <w:div w:id="559245891">
              <w:marLeft w:val="0"/>
              <w:marRight w:val="0"/>
              <w:marTop w:val="0"/>
              <w:marBottom w:val="0"/>
              <w:divBdr>
                <w:top w:val="none" w:sz="0" w:space="0" w:color="auto"/>
                <w:left w:val="none" w:sz="0" w:space="0" w:color="auto"/>
                <w:bottom w:val="none" w:sz="0" w:space="0" w:color="auto"/>
                <w:right w:val="none" w:sz="0" w:space="0" w:color="auto"/>
              </w:divBdr>
              <w:divsChild>
                <w:div w:id="559246007">
                  <w:marLeft w:val="0"/>
                  <w:marRight w:val="0"/>
                  <w:marTop w:val="0"/>
                  <w:marBottom w:val="0"/>
                  <w:divBdr>
                    <w:top w:val="none" w:sz="0" w:space="0" w:color="auto"/>
                    <w:left w:val="none" w:sz="0" w:space="0" w:color="auto"/>
                    <w:bottom w:val="none" w:sz="0" w:space="0" w:color="auto"/>
                    <w:right w:val="none" w:sz="0" w:space="0" w:color="auto"/>
                  </w:divBdr>
                  <w:divsChild>
                    <w:div w:id="559245977">
                      <w:marLeft w:val="0"/>
                      <w:marRight w:val="0"/>
                      <w:marTop w:val="0"/>
                      <w:marBottom w:val="0"/>
                      <w:divBdr>
                        <w:top w:val="none" w:sz="0" w:space="0" w:color="auto"/>
                        <w:left w:val="none" w:sz="0" w:space="0" w:color="auto"/>
                        <w:bottom w:val="none" w:sz="0" w:space="0" w:color="auto"/>
                        <w:right w:val="none" w:sz="0" w:space="0" w:color="auto"/>
                      </w:divBdr>
                      <w:divsChild>
                        <w:div w:id="559245902">
                          <w:marLeft w:val="0"/>
                          <w:marRight w:val="0"/>
                          <w:marTop w:val="0"/>
                          <w:marBottom w:val="0"/>
                          <w:divBdr>
                            <w:top w:val="none" w:sz="0" w:space="0" w:color="auto"/>
                            <w:left w:val="none" w:sz="0" w:space="0" w:color="auto"/>
                            <w:bottom w:val="none" w:sz="0" w:space="0" w:color="auto"/>
                            <w:right w:val="none" w:sz="0" w:space="0" w:color="auto"/>
                          </w:divBdr>
                          <w:divsChild>
                            <w:div w:id="5592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45954">
      <w:marLeft w:val="0"/>
      <w:marRight w:val="0"/>
      <w:marTop w:val="0"/>
      <w:marBottom w:val="0"/>
      <w:divBdr>
        <w:top w:val="none" w:sz="0" w:space="0" w:color="auto"/>
        <w:left w:val="none" w:sz="0" w:space="0" w:color="auto"/>
        <w:bottom w:val="none" w:sz="0" w:space="0" w:color="auto"/>
        <w:right w:val="none" w:sz="0" w:space="0" w:color="auto"/>
      </w:divBdr>
      <w:divsChild>
        <w:div w:id="559245936">
          <w:marLeft w:val="0"/>
          <w:marRight w:val="0"/>
          <w:marTop w:val="0"/>
          <w:marBottom w:val="0"/>
          <w:divBdr>
            <w:top w:val="none" w:sz="0" w:space="0" w:color="auto"/>
            <w:left w:val="none" w:sz="0" w:space="0" w:color="auto"/>
            <w:bottom w:val="none" w:sz="0" w:space="0" w:color="auto"/>
            <w:right w:val="none" w:sz="0" w:space="0" w:color="auto"/>
          </w:divBdr>
          <w:divsChild>
            <w:div w:id="559246004">
              <w:marLeft w:val="0"/>
              <w:marRight w:val="0"/>
              <w:marTop w:val="0"/>
              <w:marBottom w:val="0"/>
              <w:divBdr>
                <w:top w:val="none" w:sz="0" w:space="0" w:color="auto"/>
                <w:left w:val="none" w:sz="0" w:space="0" w:color="auto"/>
                <w:bottom w:val="none" w:sz="0" w:space="0" w:color="auto"/>
                <w:right w:val="none" w:sz="0" w:space="0" w:color="auto"/>
              </w:divBdr>
              <w:divsChild>
                <w:div w:id="559245974">
                  <w:marLeft w:val="0"/>
                  <w:marRight w:val="0"/>
                  <w:marTop w:val="0"/>
                  <w:marBottom w:val="0"/>
                  <w:divBdr>
                    <w:top w:val="none" w:sz="0" w:space="0" w:color="auto"/>
                    <w:left w:val="none" w:sz="0" w:space="0" w:color="auto"/>
                    <w:bottom w:val="none" w:sz="0" w:space="0" w:color="auto"/>
                    <w:right w:val="none" w:sz="0" w:space="0" w:color="auto"/>
                  </w:divBdr>
                  <w:divsChild>
                    <w:div w:id="5592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59">
      <w:marLeft w:val="0"/>
      <w:marRight w:val="0"/>
      <w:marTop w:val="0"/>
      <w:marBottom w:val="0"/>
      <w:divBdr>
        <w:top w:val="none" w:sz="0" w:space="0" w:color="auto"/>
        <w:left w:val="none" w:sz="0" w:space="0" w:color="auto"/>
        <w:bottom w:val="none" w:sz="0" w:space="0" w:color="auto"/>
        <w:right w:val="none" w:sz="0" w:space="0" w:color="auto"/>
      </w:divBdr>
    </w:div>
    <w:div w:id="559245960">
      <w:marLeft w:val="0"/>
      <w:marRight w:val="0"/>
      <w:marTop w:val="0"/>
      <w:marBottom w:val="0"/>
      <w:divBdr>
        <w:top w:val="none" w:sz="0" w:space="0" w:color="auto"/>
        <w:left w:val="none" w:sz="0" w:space="0" w:color="auto"/>
        <w:bottom w:val="none" w:sz="0" w:space="0" w:color="auto"/>
        <w:right w:val="none" w:sz="0" w:space="0" w:color="auto"/>
      </w:divBdr>
      <w:divsChild>
        <w:div w:id="559245893">
          <w:marLeft w:val="547"/>
          <w:marRight w:val="0"/>
          <w:marTop w:val="67"/>
          <w:marBottom w:val="0"/>
          <w:divBdr>
            <w:top w:val="none" w:sz="0" w:space="0" w:color="auto"/>
            <w:left w:val="none" w:sz="0" w:space="0" w:color="auto"/>
            <w:bottom w:val="none" w:sz="0" w:space="0" w:color="auto"/>
            <w:right w:val="none" w:sz="0" w:space="0" w:color="auto"/>
          </w:divBdr>
        </w:div>
        <w:div w:id="559245896">
          <w:marLeft w:val="547"/>
          <w:marRight w:val="0"/>
          <w:marTop w:val="67"/>
          <w:marBottom w:val="0"/>
          <w:divBdr>
            <w:top w:val="none" w:sz="0" w:space="0" w:color="auto"/>
            <w:left w:val="none" w:sz="0" w:space="0" w:color="auto"/>
            <w:bottom w:val="none" w:sz="0" w:space="0" w:color="auto"/>
            <w:right w:val="none" w:sz="0" w:space="0" w:color="auto"/>
          </w:divBdr>
        </w:div>
        <w:div w:id="559245914">
          <w:marLeft w:val="547"/>
          <w:marRight w:val="0"/>
          <w:marTop w:val="67"/>
          <w:marBottom w:val="0"/>
          <w:divBdr>
            <w:top w:val="none" w:sz="0" w:space="0" w:color="auto"/>
            <w:left w:val="none" w:sz="0" w:space="0" w:color="auto"/>
            <w:bottom w:val="none" w:sz="0" w:space="0" w:color="auto"/>
            <w:right w:val="none" w:sz="0" w:space="0" w:color="auto"/>
          </w:divBdr>
        </w:div>
        <w:div w:id="559245924">
          <w:marLeft w:val="547"/>
          <w:marRight w:val="0"/>
          <w:marTop w:val="67"/>
          <w:marBottom w:val="0"/>
          <w:divBdr>
            <w:top w:val="none" w:sz="0" w:space="0" w:color="auto"/>
            <w:left w:val="none" w:sz="0" w:space="0" w:color="auto"/>
            <w:bottom w:val="none" w:sz="0" w:space="0" w:color="auto"/>
            <w:right w:val="none" w:sz="0" w:space="0" w:color="auto"/>
          </w:divBdr>
        </w:div>
        <w:div w:id="559245932">
          <w:marLeft w:val="547"/>
          <w:marRight w:val="0"/>
          <w:marTop w:val="67"/>
          <w:marBottom w:val="0"/>
          <w:divBdr>
            <w:top w:val="none" w:sz="0" w:space="0" w:color="auto"/>
            <w:left w:val="none" w:sz="0" w:space="0" w:color="auto"/>
            <w:bottom w:val="none" w:sz="0" w:space="0" w:color="auto"/>
            <w:right w:val="none" w:sz="0" w:space="0" w:color="auto"/>
          </w:divBdr>
        </w:div>
        <w:div w:id="559245937">
          <w:marLeft w:val="547"/>
          <w:marRight w:val="0"/>
          <w:marTop w:val="67"/>
          <w:marBottom w:val="0"/>
          <w:divBdr>
            <w:top w:val="none" w:sz="0" w:space="0" w:color="auto"/>
            <w:left w:val="none" w:sz="0" w:space="0" w:color="auto"/>
            <w:bottom w:val="none" w:sz="0" w:space="0" w:color="auto"/>
            <w:right w:val="none" w:sz="0" w:space="0" w:color="auto"/>
          </w:divBdr>
        </w:div>
        <w:div w:id="559245944">
          <w:marLeft w:val="547"/>
          <w:marRight w:val="0"/>
          <w:marTop w:val="67"/>
          <w:marBottom w:val="0"/>
          <w:divBdr>
            <w:top w:val="none" w:sz="0" w:space="0" w:color="auto"/>
            <w:left w:val="none" w:sz="0" w:space="0" w:color="auto"/>
            <w:bottom w:val="none" w:sz="0" w:space="0" w:color="auto"/>
            <w:right w:val="none" w:sz="0" w:space="0" w:color="auto"/>
          </w:divBdr>
        </w:div>
        <w:div w:id="559245945">
          <w:marLeft w:val="547"/>
          <w:marRight w:val="0"/>
          <w:marTop w:val="67"/>
          <w:marBottom w:val="0"/>
          <w:divBdr>
            <w:top w:val="none" w:sz="0" w:space="0" w:color="auto"/>
            <w:left w:val="none" w:sz="0" w:space="0" w:color="auto"/>
            <w:bottom w:val="none" w:sz="0" w:space="0" w:color="auto"/>
            <w:right w:val="none" w:sz="0" w:space="0" w:color="auto"/>
          </w:divBdr>
        </w:div>
        <w:div w:id="559245957">
          <w:marLeft w:val="547"/>
          <w:marRight w:val="0"/>
          <w:marTop w:val="67"/>
          <w:marBottom w:val="0"/>
          <w:divBdr>
            <w:top w:val="none" w:sz="0" w:space="0" w:color="auto"/>
            <w:left w:val="none" w:sz="0" w:space="0" w:color="auto"/>
            <w:bottom w:val="none" w:sz="0" w:space="0" w:color="auto"/>
            <w:right w:val="none" w:sz="0" w:space="0" w:color="auto"/>
          </w:divBdr>
        </w:div>
        <w:div w:id="559245998">
          <w:marLeft w:val="547"/>
          <w:marRight w:val="0"/>
          <w:marTop w:val="67"/>
          <w:marBottom w:val="0"/>
          <w:divBdr>
            <w:top w:val="none" w:sz="0" w:space="0" w:color="auto"/>
            <w:left w:val="none" w:sz="0" w:space="0" w:color="auto"/>
            <w:bottom w:val="none" w:sz="0" w:space="0" w:color="auto"/>
            <w:right w:val="none" w:sz="0" w:space="0" w:color="auto"/>
          </w:divBdr>
        </w:div>
        <w:div w:id="559246017">
          <w:marLeft w:val="547"/>
          <w:marRight w:val="0"/>
          <w:marTop w:val="67"/>
          <w:marBottom w:val="0"/>
          <w:divBdr>
            <w:top w:val="none" w:sz="0" w:space="0" w:color="auto"/>
            <w:left w:val="none" w:sz="0" w:space="0" w:color="auto"/>
            <w:bottom w:val="none" w:sz="0" w:space="0" w:color="auto"/>
            <w:right w:val="none" w:sz="0" w:space="0" w:color="auto"/>
          </w:divBdr>
        </w:div>
      </w:divsChild>
    </w:div>
    <w:div w:id="559245962">
      <w:marLeft w:val="0"/>
      <w:marRight w:val="0"/>
      <w:marTop w:val="0"/>
      <w:marBottom w:val="0"/>
      <w:divBdr>
        <w:top w:val="none" w:sz="0" w:space="0" w:color="auto"/>
        <w:left w:val="none" w:sz="0" w:space="0" w:color="auto"/>
        <w:bottom w:val="none" w:sz="0" w:space="0" w:color="auto"/>
        <w:right w:val="none" w:sz="0" w:space="0" w:color="auto"/>
      </w:divBdr>
      <w:divsChild>
        <w:div w:id="559245966">
          <w:marLeft w:val="0"/>
          <w:marRight w:val="0"/>
          <w:marTop w:val="0"/>
          <w:marBottom w:val="0"/>
          <w:divBdr>
            <w:top w:val="none" w:sz="0" w:space="0" w:color="auto"/>
            <w:left w:val="none" w:sz="0" w:space="0" w:color="auto"/>
            <w:bottom w:val="none" w:sz="0" w:space="0" w:color="auto"/>
            <w:right w:val="none" w:sz="0" w:space="0" w:color="auto"/>
          </w:divBdr>
          <w:divsChild>
            <w:div w:id="559245961">
              <w:marLeft w:val="0"/>
              <w:marRight w:val="0"/>
              <w:marTop w:val="0"/>
              <w:marBottom w:val="0"/>
              <w:divBdr>
                <w:top w:val="none" w:sz="0" w:space="0" w:color="auto"/>
                <w:left w:val="none" w:sz="0" w:space="0" w:color="auto"/>
                <w:bottom w:val="none" w:sz="0" w:space="0" w:color="auto"/>
                <w:right w:val="none" w:sz="0" w:space="0" w:color="auto"/>
              </w:divBdr>
              <w:divsChild>
                <w:div w:id="559245956">
                  <w:marLeft w:val="0"/>
                  <w:marRight w:val="0"/>
                  <w:marTop w:val="0"/>
                  <w:marBottom w:val="0"/>
                  <w:divBdr>
                    <w:top w:val="none" w:sz="0" w:space="0" w:color="auto"/>
                    <w:left w:val="none" w:sz="0" w:space="0" w:color="auto"/>
                    <w:bottom w:val="none" w:sz="0" w:space="0" w:color="auto"/>
                    <w:right w:val="none" w:sz="0" w:space="0" w:color="auto"/>
                  </w:divBdr>
                  <w:divsChild>
                    <w:div w:id="5592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63">
      <w:marLeft w:val="0"/>
      <w:marRight w:val="0"/>
      <w:marTop w:val="0"/>
      <w:marBottom w:val="0"/>
      <w:divBdr>
        <w:top w:val="none" w:sz="0" w:space="0" w:color="auto"/>
        <w:left w:val="none" w:sz="0" w:space="0" w:color="auto"/>
        <w:bottom w:val="none" w:sz="0" w:space="0" w:color="auto"/>
        <w:right w:val="none" w:sz="0" w:space="0" w:color="auto"/>
      </w:divBdr>
    </w:div>
    <w:div w:id="559245965">
      <w:marLeft w:val="0"/>
      <w:marRight w:val="0"/>
      <w:marTop w:val="0"/>
      <w:marBottom w:val="0"/>
      <w:divBdr>
        <w:top w:val="none" w:sz="0" w:space="0" w:color="auto"/>
        <w:left w:val="none" w:sz="0" w:space="0" w:color="auto"/>
        <w:bottom w:val="none" w:sz="0" w:space="0" w:color="auto"/>
        <w:right w:val="none" w:sz="0" w:space="0" w:color="auto"/>
      </w:divBdr>
      <w:divsChild>
        <w:div w:id="559245995">
          <w:marLeft w:val="0"/>
          <w:marRight w:val="0"/>
          <w:marTop w:val="0"/>
          <w:marBottom w:val="0"/>
          <w:divBdr>
            <w:top w:val="none" w:sz="0" w:space="0" w:color="auto"/>
            <w:left w:val="none" w:sz="0" w:space="0" w:color="auto"/>
            <w:bottom w:val="none" w:sz="0" w:space="0" w:color="auto"/>
            <w:right w:val="none" w:sz="0" w:space="0" w:color="auto"/>
          </w:divBdr>
          <w:divsChild>
            <w:div w:id="559245994">
              <w:marLeft w:val="0"/>
              <w:marRight w:val="0"/>
              <w:marTop w:val="0"/>
              <w:marBottom w:val="0"/>
              <w:divBdr>
                <w:top w:val="none" w:sz="0" w:space="0" w:color="auto"/>
                <w:left w:val="none" w:sz="0" w:space="0" w:color="auto"/>
                <w:bottom w:val="none" w:sz="0" w:space="0" w:color="auto"/>
                <w:right w:val="none" w:sz="0" w:space="0" w:color="auto"/>
              </w:divBdr>
              <w:divsChild>
                <w:div w:id="559245972">
                  <w:marLeft w:val="0"/>
                  <w:marRight w:val="0"/>
                  <w:marTop w:val="0"/>
                  <w:marBottom w:val="0"/>
                  <w:divBdr>
                    <w:top w:val="none" w:sz="0" w:space="0" w:color="auto"/>
                    <w:left w:val="none" w:sz="0" w:space="0" w:color="auto"/>
                    <w:bottom w:val="none" w:sz="0" w:space="0" w:color="auto"/>
                    <w:right w:val="none" w:sz="0" w:space="0" w:color="auto"/>
                  </w:divBdr>
                  <w:divsChild>
                    <w:div w:id="5592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67">
      <w:marLeft w:val="0"/>
      <w:marRight w:val="0"/>
      <w:marTop w:val="0"/>
      <w:marBottom w:val="0"/>
      <w:divBdr>
        <w:top w:val="none" w:sz="0" w:space="0" w:color="auto"/>
        <w:left w:val="none" w:sz="0" w:space="0" w:color="auto"/>
        <w:bottom w:val="none" w:sz="0" w:space="0" w:color="auto"/>
        <w:right w:val="none" w:sz="0" w:space="0" w:color="auto"/>
      </w:divBdr>
      <w:divsChild>
        <w:div w:id="559245946">
          <w:marLeft w:val="0"/>
          <w:marRight w:val="0"/>
          <w:marTop w:val="0"/>
          <w:marBottom w:val="0"/>
          <w:divBdr>
            <w:top w:val="none" w:sz="0" w:space="0" w:color="auto"/>
            <w:left w:val="none" w:sz="0" w:space="0" w:color="auto"/>
            <w:bottom w:val="none" w:sz="0" w:space="0" w:color="auto"/>
            <w:right w:val="none" w:sz="0" w:space="0" w:color="auto"/>
          </w:divBdr>
          <w:divsChild>
            <w:div w:id="559245947">
              <w:marLeft w:val="0"/>
              <w:marRight w:val="0"/>
              <w:marTop w:val="0"/>
              <w:marBottom w:val="0"/>
              <w:divBdr>
                <w:top w:val="none" w:sz="0" w:space="0" w:color="auto"/>
                <w:left w:val="none" w:sz="0" w:space="0" w:color="auto"/>
                <w:bottom w:val="none" w:sz="0" w:space="0" w:color="auto"/>
                <w:right w:val="none" w:sz="0" w:space="0" w:color="auto"/>
              </w:divBdr>
              <w:divsChild>
                <w:div w:id="559245951">
                  <w:marLeft w:val="0"/>
                  <w:marRight w:val="0"/>
                  <w:marTop w:val="0"/>
                  <w:marBottom w:val="0"/>
                  <w:divBdr>
                    <w:top w:val="none" w:sz="0" w:space="0" w:color="auto"/>
                    <w:left w:val="none" w:sz="0" w:space="0" w:color="auto"/>
                    <w:bottom w:val="none" w:sz="0" w:space="0" w:color="auto"/>
                    <w:right w:val="none" w:sz="0" w:space="0" w:color="auto"/>
                  </w:divBdr>
                  <w:divsChild>
                    <w:div w:id="5592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71">
      <w:marLeft w:val="0"/>
      <w:marRight w:val="0"/>
      <w:marTop w:val="0"/>
      <w:marBottom w:val="0"/>
      <w:divBdr>
        <w:top w:val="none" w:sz="0" w:space="0" w:color="auto"/>
        <w:left w:val="none" w:sz="0" w:space="0" w:color="auto"/>
        <w:bottom w:val="none" w:sz="0" w:space="0" w:color="auto"/>
        <w:right w:val="none" w:sz="0" w:space="0" w:color="auto"/>
      </w:divBdr>
    </w:div>
    <w:div w:id="559245975">
      <w:marLeft w:val="0"/>
      <w:marRight w:val="0"/>
      <w:marTop w:val="0"/>
      <w:marBottom w:val="0"/>
      <w:divBdr>
        <w:top w:val="none" w:sz="0" w:space="0" w:color="auto"/>
        <w:left w:val="none" w:sz="0" w:space="0" w:color="auto"/>
        <w:bottom w:val="none" w:sz="0" w:space="0" w:color="auto"/>
        <w:right w:val="none" w:sz="0" w:space="0" w:color="auto"/>
      </w:divBdr>
      <w:divsChild>
        <w:div w:id="559245931">
          <w:marLeft w:val="0"/>
          <w:marRight w:val="0"/>
          <w:marTop w:val="0"/>
          <w:marBottom w:val="0"/>
          <w:divBdr>
            <w:top w:val="none" w:sz="0" w:space="0" w:color="auto"/>
            <w:left w:val="none" w:sz="0" w:space="0" w:color="auto"/>
            <w:bottom w:val="none" w:sz="0" w:space="0" w:color="auto"/>
            <w:right w:val="none" w:sz="0" w:space="0" w:color="auto"/>
          </w:divBdr>
          <w:divsChild>
            <w:div w:id="559246014">
              <w:marLeft w:val="0"/>
              <w:marRight w:val="0"/>
              <w:marTop w:val="0"/>
              <w:marBottom w:val="0"/>
              <w:divBdr>
                <w:top w:val="none" w:sz="0" w:space="0" w:color="auto"/>
                <w:left w:val="none" w:sz="0" w:space="0" w:color="auto"/>
                <w:bottom w:val="none" w:sz="0" w:space="0" w:color="auto"/>
                <w:right w:val="none" w:sz="0" w:space="0" w:color="auto"/>
              </w:divBdr>
              <w:divsChild>
                <w:div w:id="559246016">
                  <w:marLeft w:val="0"/>
                  <w:marRight w:val="0"/>
                  <w:marTop w:val="0"/>
                  <w:marBottom w:val="0"/>
                  <w:divBdr>
                    <w:top w:val="none" w:sz="0" w:space="0" w:color="auto"/>
                    <w:left w:val="none" w:sz="0" w:space="0" w:color="auto"/>
                    <w:bottom w:val="none" w:sz="0" w:space="0" w:color="auto"/>
                    <w:right w:val="none" w:sz="0" w:space="0" w:color="auto"/>
                  </w:divBdr>
                  <w:divsChild>
                    <w:div w:id="5592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80">
      <w:marLeft w:val="0"/>
      <w:marRight w:val="0"/>
      <w:marTop w:val="0"/>
      <w:marBottom w:val="0"/>
      <w:divBdr>
        <w:top w:val="none" w:sz="0" w:space="0" w:color="auto"/>
        <w:left w:val="none" w:sz="0" w:space="0" w:color="auto"/>
        <w:bottom w:val="none" w:sz="0" w:space="0" w:color="auto"/>
        <w:right w:val="none" w:sz="0" w:space="0" w:color="auto"/>
      </w:divBdr>
      <w:divsChild>
        <w:div w:id="559245908">
          <w:marLeft w:val="0"/>
          <w:marRight w:val="0"/>
          <w:marTop w:val="0"/>
          <w:marBottom w:val="0"/>
          <w:divBdr>
            <w:top w:val="none" w:sz="0" w:space="0" w:color="auto"/>
            <w:left w:val="none" w:sz="0" w:space="0" w:color="auto"/>
            <w:bottom w:val="none" w:sz="0" w:space="0" w:color="auto"/>
            <w:right w:val="none" w:sz="0" w:space="0" w:color="auto"/>
          </w:divBdr>
          <w:divsChild>
            <w:div w:id="559245907">
              <w:marLeft w:val="0"/>
              <w:marRight w:val="0"/>
              <w:marTop w:val="0"/>
              <w:marBottom w:val="0"/>
              <w:divBdr>
                <w:top w:val="none" w:sz="0" w:space="0" w:color="auto"/>
                <w:left w:val="none" w:sz="0" w:space="0" w:color="auto"/>
                <w:bottom w:val="none" w:sz="0" w:space="0" w:color="auto"/>
                <w:right w:val="none" w:sz="0" w:space="0" w:color="auto"/>
              </w:divBdr>
              <w:divsChild>
                <w:div w:id="559245922">
                  <w:marLeft w:val="0"/>
                  <w:marRight w:val="0"/>
                  <w:marTop w:val="0"/>
                  <w:marBottom w:val="0"/>
                  <w:divBdr>
                    <w:top w:val="none" w:sz="0" w:space="0" w:color="auto"/>
                    <w:left w:val="none" w:sz="0" w:space="0" w:color="auto"/>
                    <w:bottom w:val="none" w:sz="0" w:space="0" w:color="auto"/>
                    <w:right w:val="none" w:sz="0" w:space="0" w:color="auto"/>
                  </w:divBdr>
                  <w:divsChild>
                    <w:div w:id="559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84">
      <w:marLeft w:val="0"/>
      <w:marRight w:val="0"/>
      <w:marTop w:val="0"/>
      <w:marBottom w:val="0"/>
      <w:divBdr>
        <w:top w:val="none" w:sz="0" w:space="0" w:color="auto"/>
        <w:left w:val="none" w:sz="0" w:space="0" w:color="auto"/>
        <w:bottom w:val="none" w:sz="0" w:space="0" w:color="auto"/>
        <w:right w:val="none" w:sz="0" w:space="0" w:color="auto"/>
      </w:divBdr>
    </w:div>
    <w:div w:id="559245986">
      <w:marLeft w:val="0"/>
      <w:marRight w:val="0"/>
      <w:marTop w:val="0"/>
      <w:marBottom w:val="0"/>
      <w:divBdr>
        <w:top w:val="none" w:sz="0" w:space="0" w:color="auto"/>
        <w:left w:val="none" w:sz="0" w:space="0" w:color="auto"/>
        <w:bottom w:val="none" w:sz="0" w:space="0" w:color="auto"/>
        <w:right w:val="none" w:sz="0" w:space="0" w:color="auto"/>
      </w:divBdr>
      <w:divsChild>
        <w:div w:id="559245928">
          <w:marLeft w:val="0"/>
          <w:marRight w:val="0"/>
          <w:marTop w:val="0"/>
          <w:marBottom w:val="0"/>
          <w:divBdr>
            <w:top w:val="none" w:sz="0" w:space="0" w:color="auto"/>
            <w:left w:val="none" w:sz="0" w:space="0" w:color="auto"/>
            <w:bottom w:val="none" w:sz="0" w:space="0" w:color="auto"/>
            <w:right w:val="none" w:sz="0" w:space="0" w:color="auto"/>
          </w:divBdr>
          <w:divsChild>
            <w:div w:id="559245917">
              <w:marLeft w:val="0"/>
              <w:marRight w:val="0"/>
              <w:marTop w:val="0"/>
              <w:marBottom w:val="0"/>
              <w:divBdr>
                <w:top w:val="none" w:sz="0" w:space="0" w:color="auto"/>
                <w:left w:val="none" w:sz="0" w:space="0" w:color="auto"/>
                <w:bottom w:val="none" w:sz="0" w:space="0" w:color="auto"/>
                <w:right w:val="none" w:sz="0" w:space="0" w:color="auto"/>
              </w:divBdr>
              <w:divsChild>
                <w:div w:id="559245985">
                  <w:marLeft w:val="0"/>
                  <w:marRight w:val="0"/>
                  <w:marTop w:val="0"/>
                  <w:marBottom w:val="0"/>
                  <w:divBdr>
                    <w:top w:val="none" w:sz="0" w:space="0" w:color="auto"/>
                    <w:left w:val="none" w:sz="0" w:space="0" w:color="auto"/>
                    <w:bottom w:val="none" w:sz="0" w:space="0" w:color="auto"/>
                    <w:right w:val="none" w:sz="0" w:space="0" w:color="auto"/>
                  </w:divBdr>
                </w:div>
                <w:div w:id="5592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987">
      <w:marLeft w:val="0"/>
      <w:marRight w:val="0"/>
      <w:marTop w:val="0"/>
      <w:marBottom w:val="0"/>
      <w:divBdr>
        <w:top w:val="none" w:sz="0" w:space="0" w:color="auto"/>
        <w:left w:val="none" w:sz="0" w:space="0" w:color="auto"/>
        <w:bottom w:val="none" w:sz="0" w:space="0" w:color="auto"/>
        <w:right w:val="none" w:sz="0" w:space="0" w:color="auto"/>
      </w:divBdr>
      <w:divsChild>
        <w:div w:id="559245925">
          <w:marLeft w:val="0"/>
          <w:marRight w:val="0"/>
          <w:marTop w:val="0"/>
          <w:marBottom w:val="0"/>
          <w:divBdr>
            <w:top w:val="none" w:sz="0" w:space="0" w:color="auto"/>
            <w:left w:val="none" w:sz="0" w:space="0" w:color="auto"/>
            <w:bottom w:val="none" w:sz="0" w:space="0" w:color="auto"/>
            <w:right w:val="none" w:sz="0" w:space="0" w:color="auto"/>
          </w:divBdr>
          <w:divsChild>
            <w:div w:id="559245935">
              <w:marLeft w:val="0"/>
              <w:marRight w:val="0"/>
              <w:marTop w:val="0"/>
              <w:marBottom w:val="0"/>
              <w:divBdr>
                <w:top w:val="none" w:sz="0" w:space="0" w:color="auto"/>
                <w:left w:val="none" w:sz="0" w:space="0" w:color="auto"/>
                <w:bottom w:val="none" w:sz="0" w:space="0" w:color="auto"/>
                <w:right w:val="none" w:sz="0" w:space="0" w:color="auto"/>
              </w:divBdr>
              <w:divsChild>
                <w:div w:id="559245976">
                  <w:marLeft w:val="0"/>
                  <w:marRight w:val="0"/>
                  <w:marTop w:val="0"/>
                  <w:marBottom w:val="0"/>
                  <w:divBdr>
                    <w:top w:val="none" w:sz="0" w:space="0" w:color="auto"/>
                    <w:left w:val="none" w:sz="0" w:space="0" w:color="auto"/>
                    <w:bottom w:val="none" w:sz="0" w:space="0" w:color="auto"/>
                    <w:right w:val="none" w:sz="0" w:space="0" w:color="auto"/>
                  </w:divBdr>
                  <w:divsChild>
                    <w:div w:id="5592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90">
      <w:marLeft w:val="0"/>
      <w:marRight w:val="0"/>
      <w:marTop w:val="0"/>
      <w:marBottom w:val="0"/>
      <w:divBdr>
        <w:top w:val="none" w:sz="0" w:space="0" w:color="auto"/>
        <w:left w:val="none" w:sz="0" w:space="0" w:color="auto"/>
        <w:bottom w:val="none" w:sz="0" w:space="0" w:color="auto"/>
        <w:right w:val="none" w:sz="0" w:space="0" w:color="auto"/>
      </w:divBdr>
      <w:divsChild>
        <w:div w:id="559245988">
          <w:marLeft w:val="0"/>
          <w:marRight w:val="0"/>
          <w:marTop w:val="0"/>
          <w:marBottom w:val="0"/>
          <w:divBdr>
            <w:top w:val="none" w:sz="0" w:space="0" w:color="auto"/>
            <w:left w:val="none" w:sz="0" w:space="0" w:color="auto"/>
            <w:bottom w:val="none" w:sz="0" w:space="0" w:color="auto"/>
            <w:right w:val="none" w:sz="0" w:space="0" w:color="auto"/>
          </w:divBdr>
          <w:divsChild>
            <w:div w:id="559245899">
              <w:marLeft w:val="0"/>
              <w:marRight w:val="0"/>
              <w:marTop w:val="0"/>
              <w:marBottom w:val="0"/>
              <w:divBdr>
                <w:top w:val="none" w:sz="0" w:space="0" w:color="auto"/>
                <w:left w:val="none" w:sz="0" w:space="0" w:color="auto"/>
                <w:bottom w:val="none" w:sz="0" w:space="0" w:color="auto"/>
                <w:right w:val="none" w:sz="0" w:space="0" w:color="auto"/>
              </w:divBdr>
              <w:divsChild>
                <w:div w:id="559245981">
                  <w:marLeft w:val="0"/>
                  <w:marRight w:val="0"/>
                  <w:marTop w:val="0"/>
                  <w:marBottom w:val="0"/>
                  <w:divBdr>
                    <w:top w:val="none" w:sz="0" w:space="0" w:color="auto"/>
                    <w:left w:val="none" w:sz="0" w:space="0" w:color="auto"/>
                    <w:bottom w:val="none" w:sz="0" w:space="0" w:color="auto"/>
                    <w:right w:val="none" w:sz="0" w:space="0" w:color="auto"/>
                  </w:divBdr>
                  <w:divsChild>
                    <w:div w:id="5592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93">
      <w:marLeft w:val="0"/>
      <w:marRight w:val="0"/>
      <w:marTop w:val="0"/>
      <w:marBottom w:val="0"/>
      <w:divBdr>
        <w:top w:val="none" w:sz="0" w:space="0" w:color="auto"/>
        <w:left w:val="none" w:sz="0" w:space="0" w:color="auto"/>
        <w:bottom w:val="none" w:sz="0" w:space="0" w:color="auto"/>
        <w:right w:val="none" w:sz="0" w:space="0" w:color="auto"/>
      </w:divBdr>
      <w:divsChild>
        <w:div w:id="559246006">
          <w:marLeft w:val="0"/>
          <w:marRight w:val="0"/>
          <w:marTop w:val="0"/>
          <w:marBottom w:val="0"/>
          <w:divBdr>
            <w:top w:val="none" w:sz="0" w:space="0" w:color="auto"/>
            <w:left w:val="none" w:sz="0" w:space="0" w:color="auto"/>
            <w:bottom w:val="none" w:sz="0" w:space="0" w:color="auto"/>
            <w:right w:val="none" w:sz="0" w:space="0" w:color="auto"/>
          </w:divBdr>
          <w:divsChild>
            <w:div w:id="559245970">
              <w:marLeft w:val="0"/>
              <w:marRight w:val="0"/>
              <w:marTop w:val="0"/>
              <w:marBottom w:val="0"/>
              <w:divBdr>
                <w:top w:val="none" w:sz="0" w:space="0" w:color="auto"/>
                <w:left w:val="none" w:sz="0" w:space="0" w:color="auto"/>
                <w:bottom w:val="none" w:sz="0" w:space="0" w:color="auto"/>
                <w:right w:val="none" w:sz="0" w:space="0" w:color="auto"/>
              </w:divBdr>
              <w:divsChild>
                <w:div w:id="559245969">
                  <w:marLeft w:val="0"/>
                  <w:marRight w:val="0"/>
                  <w:marTop w:val="0"/>
                  <w:marBottom w:val="0"/>
                  <w:divBdr>
                    <w:top w:val="none" w:sz="0" w:space="0" w:color="auto"/>
                    <w:left w:val="none" w:sz="0" w:space="0" w:color="auto"/>
                    <w:bottom w:val="none" w:sz="0" w:space="0" w:color="auto"/>
                    <w:right w:val="none" w:sz="0" w:space="0" w:color="auto"/>
                  </w:divBdr>
                  <w:divsChild>
                    <w:div w:id="55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96">
      <w:marLeft w:val="0"/>
      <w:marRight w:val="0"/>
      <w:marTop w:val="0"/>
      <w:marBottom w:val="0"/>
      <w:divBdr>
        <w:top w:val="none" w:sz="0" w:space="0" w:color="auto"/>
        <w:left w:val="none" w:sz="0" w:space="0" w:color="auto"/>
        <w:bottom w:val="none" w:sz="0" w:space="0" w:color="auto"/>
        <w:right w:val="none" w:sz="0" w:space="0" w:color="auto"/>
      </w:divBdr>
      <w:divsChild>
        <w:div w:id="559245888">
          <w:marLeft w:val="0"/>
          <w:marRight w:val="0"/>
          <w:marTop w:val="0"/>
          <w:marBottom w:val="0"/>
          <w:divBdr>
            <w:top w:val="none" w:sz="0" w:space="0" w:color="auto"/>
            <w:left w:val="none" w:sz="0" w:space="0" w:color="auto"/>
            <w:bottom w:val="none" w:sz="0" w:space="0" w:color="auto"/>
            <w:right w:val="none" w:sz="0" w:space="0" w:color="auto"/>
          </w:divBdr>
          <w:divsChild>
            <w:div w:id="559245921">
              <w:marLeft w:val="0"/>
              <w:marRight w:val="0"/>
              <w:marTop w:val="0"/>
              <w:marBottom w:val="0"/>
              <w:divBdr>
                <w:top w:val="none" w:sz="0" w:space="0" w:color="auto"/>
                <w:left w:val="none" w:sz="0" w:space="0" w:color="auto"/>
                <w:bottom w:val="none" w:sz="0" w:space="0" w:color="auto"/>
                <w:right w:val="none" w:sz="0" w:space="0" w:color="auto"/>
              </w:divBdr>
              <w:divsChild>
                <w:div w:id="559246020">
                  <w:marLeft w:val="0"/>
                  <w:marRight w:val="0"/>
                  <w:marTop w:val="0"/>
                  <w:marBottom w:val="0"/>
                  <w:divBdr>
                    <w:top w:val="none" w:sz="0" w:space="0" w:color="auto"/>
                    <w:left w:val="none" w:sz="0" w:space="0" w:color="auto"/>
                    <w:bottom w:val="none" w:sz="0" w:space="0" w:color="auto"/>
                    <w:right w:val="none" w:sz="0" w:space="0" w:color="auto"/>
                  </w:divBdr>
                  <w:divsChild>
                    <w:div w:id="5592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99">
      <w:marLeft w:val="0"/>
      <w:marRight w:val="0"/>
      <w:marTop w:val="0"/>
      <w:marBottom w:val="0"/>
      <w:divBdr>
        <w:top w:val="none" w:sz="0" w:space="0" w:color="auto"/>
        <w:left w:val="none" w:sz="0" w:space="0" w:color="auto"/>
        <w:bottom w:val="none" w:sz="0" w:space="0" w:color="auto"/>
        <w:right w:val="none" w:sz="0" w:space="0" w:color="auto"/>
      </w:divBdr>
      <w:divsChild>
        <w:div w:id="559245911">
          <w:marLeft w:val="0"/>
          <w:marRight w:val="0"/>
          <w:marTop w:val="0"/>
          <w:marBottom w:val="0"/>
          <w:divBdr>
            <w:top w:val="none" w:sz="0" w:space="0" w:color="auto"/>
            <w:left w:val="none" w:sz="0" w:space="0" w:color="auto"/>
            <w:bottom w:val="none" w:sz="0" w:space="0" w:color="auto"/>
            <w:right w:val="none" w:sz="0" w:space="0" w:color="auto"/>
          </w:divBdr>
          <w:divsChild>
            <w:div w:id="559246010">
              <w:marLeft w:val="0"/>
              <w:marRight w:val="0"/>
              <w:marTop w:val="0"/>
              <w:marBottom w:val="0"/>
              <w:divBdr>
                <w:top w:val="none" w:sz="0" w:space="0" w:color="auto"/>
                <w:left w:val="none" w:sz="0" w:space="0" w:color="auto"/>
                <w:bottom w:val="none" w:sz="0" w:space="0" w:color="auto"/>
                <w:right w:val="none" w:sz="0" w:space="0" w:color="auto"/>
              </w:divBdr>
              <w:divsChild>
                <w:div w:id="559246011">
                  <w:marLeft w:val="0"/>
                  <w:marRight w:val="0"/>
                  <w:marTop w:val="0"/>
                  <w:marBottom w:val="0"/>
                  <w:divBdr>
                    <w:top w:val="none" w:sz="0" w:space="0" w:color="auto"/>
                    <w:left w:val="none" w:sz="0" w:space="0" w:color="auto"/>
                    <w:bottom w:val="none" w:sz="0" w:space="0" w:color="auto"/>
                    <w:right w:val="none" w:sz="0" w:space="0" w:color="auto"/>
                  </w:divBdr>
                  <w:divsChild>
                    <w:div w:id="5592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6002">
      <w:marLeft w:val="0"/>
      <w:marRight w:val="0"/>
      <w:marTop w:val="0"/>
      <w:marBottom w:val="0"/>
      <w:divBdr>
        <w:top w:val="none" w:sz="0" w:space="0" w:color="auto"/>
        <w:left w:val="none" w:sz="0" w:space="0" w:color="auto"/>
        <w:bottom w:val="none" w:sz="0" w:space="0" w:color="auto"/>
        <w:right w:val="none" w:sz="0" w:space="0" w:color="auto"/>
      </w:divBdr>
      <w:divsChild>
        <w:div w:id="559246021">
          <w:marLeft w:val="0"/>
          <w:marRight w:val="0"/>
          <w:marTop w:val="0"/>
          <w:marBottom w:val="0"/>
          <w:divBdr>
            <w:top w:val="none" w:sz="0" w:space="0" w:color="auto"/>
            <w:left w:val="none" w:sz="0" w:space="0" w:color="auto"/>
            <w:bottom w:val="none" w:sz="0" w:space="0" w:color="auto"/>
            <w:right w:val="none" w:sz="0" w:space="0" w:color="auto"/>
          </w:divBdr>
          <w:divsChild>
            <w:div w:id="559246012">
              <w:marLeft w:val="0"/>
              <w:marRight w:val="0"/>
              <w:marTop w:val="0"/>
              <w:marBottom w:val="0"/>
              <w:divBdr>
                <w:top w:val="none" w:sz="0" w:space="0" w:color="auto"/>
                <w:left w:val="none" w:sz="0" w:space="0" w:color="auto"/>
                <w:bottom w:val="none" w:sz="0" w:space="0" w:color="auto"/>
                <w:right w:val="none" w:sz="0" w:space="0" w:color="auto"/>
              </w:divBdr>
              <w:divsChild>
                <w:div w:id="559245950">
                  <w:marLeft w:val="0"/>
                  <w:marRight w:val="0"/>
                  <w:marTop w:val="0"/>
                  <w:marBottom w:val="0"/>
                  <w:divBdr>
                    <w:top w:val="none" w:sz="0" w:space="0" w:color="auto"/>
                    <w:left w:val="none" w:sz="0" w:space="0" w:color="auto"/>
                    <w:bottom w:val="none" w:sz="0" w:space="0" w:color="auto"/>
                    <w:right w:val="none" w:sz="0" w:space="0" w:color="auto"/>
                  </w:divBdr>
                  <w:divsChild>
                    <w:div w:id="5592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6015">
      <w:marLeft w:val="0"/>
      <w:marRight w:val="0"/>
      <w:marTop w:val="0"/>
      <w:marBottom w:val="0"/>
      <w:divBdr>
        <w:top w:val="none" w:sz="0" w:space="0" w:color="auto"/>
        <w:left w:val="none" w:sz="0" w:space="0" w:color="auto"/>
        <w:bottom w:val="none" w:sz="0" w:space="0" w:color="auto"/>
        <w:right w:val="none" w:sz="0" w:space="0" w:color="auto"/>
      </w:divBdr>
      <w:divsChild>
        <w:div w:id="559245897">
          <w:marLeft w:val="0"/>
          <w:marRight w:val="0"/>
          <w:marTop w:val="0"/>
          <w:marBottom w:val="0"/>
          <w:divBdr>
            <w:top w:val="none" w:sz="0" w:space="0" w:color="auto"/>
            <w:left w:val="none" w:sz="0" w:space="0" w:color="auto"/>
            <w:bottom w:val="none" w:sz="0" w:space="0" w:color="auto"/>
            <w:right w:val="none" w:sz="0" w:space="0" w:color="auto"/>
          </w:divBdr>
          <w:divsChild>
            <w:div w:id="559245933">
              <w:marLeft w:val="0"/>
              <w:marRight w:val="0"/>
              <w:marTop w:val="0"/>
              <w:marBottom w:val="0"/>
              <w:divBdr>
                <w:top w:val="none" w:sz="0" w:space="0" w:color="auto"/>
                <w:left w:val="none" w:sz="0" w:space="0" w:color="auto"/>
                <w:bottom w:val="none" w:sz="0" w:space="0" w:color="auto"/>
                <w:right w:val="none" w:sz="0" w:space="0" w:color="auto"/>
              </w:divBdr>
              <w:divsChild>
                <w:div w:id="559245992">
                  <w:marLeft w:val="0"/>
                  <w:marRight w:val="0"/>
                  <w:marTop w:val="0"/>
                  <w:marBottom w:val="0"/>
                  <w:divBdr>
                    <w:top w:val="none" w:sz="0" w:space="0" w:color="auto"/>
                    <w:left w:val="none" w:sz="0" w:space="0" w:color="auto"/>
                    <w:bottom w:val="none" w:sz="0" w:space="0" w:color="auto"/>
                    <w:right w:val="none" w:sz="0" w:space="0" w:color="auto"/>
                  </w:divBdr>
                  <w:divsChild>
                    <w:div w:id="559246000">
                      <w:marLeft w:val="0"/>
                      <w:marRight w:val="0"/>
                      <w:marTop w:val="0"/>
                      <w:marBottom w:val="0"/>
                      <w:divBdr>
                        <w:top w:val="none" w:sz="0" w:space="0" w:color="auto"/>
                        <w:left w:val="none" w:sz="0" w:space="0" w:color="auto"/>
                        <w:bottom w:val="none" w:sz="0" w:space="0" w:color="auto"/>
                        <w:right w:val="none" w:sz="0" w:space="0" w:color="auto"/>
                      </w:divBdr>
                      <w:divsChild>
                        <w:div w:id="5592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8489">
      <w:bodyDiv w:val="1"/>
      <w:marLeft w:val="0"/>
      <w:marRight w:val="0"/>
      <w:marTop w:val="0"/>
      <w:marBottom w:val="0"/>
      <w:divBdr>
        <w:top w:val="none" w:sz="0" w:space="0" w:color="auto"/>
        <w:left w:val="none" w:sz="0" w:space="0" w:color="auto"/>
        <w:bottom w:val="none" w:sz="0" w:space="0" w:color="auto"/>
        <w:right w:val="none" w:sz="0" w:space="0" w:color="auto"/>
      </w:divBdr>
    </w:div>
    <w:div w:id="1015880556">
      <w:bodyDiv w:val="1"/>
      <w:marLeft w:val="0"/>
      <w:marRight w:val="0"/>
      <w:marTop w:val="0"/>
      <w:marBottom w:val="0"/>
      <w:divBdr>
        <w:top w:val="none" w:sz="0" w:space="0" w:color="auto"/>
        <w:left w:val="none" w:sz="0" w:space="0" w:color="auto"/>
        <w:bottom w:val="none" w:sz="0" w:space="0" w:color="auto"/>
        <w:right w:val="none" w:sz="0" w:space="0" w:color="auto"/>
      </w:divBdr>
    </w:div>
    <w:div w:id="10402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nmail.trustwave.com/?c=7089&amp;d=-aWh22b4Y4SDzyWdOskeoWuVXGu_JD5juxTeVBxzDA&amp;u=http%3a%2f%2fwww%2enpcc%2epolice%2euk%2fdocuments%2fhonour%2520based%2epdf" TargetMode="External"/><Relationship Id="rId18" Type="http://schemas.openxmlformats.org/officeDocument/2006/relationships/hyperlink" Target="https://www.cps.gov.uk/legal-guidance/guidelines-prosecuting-cases-involving-communications-sent-social-media" TargetMode="External"/><Relationship Id="rId26" Type="http://schemas.openxmlformats.org/officeDocument/2006/relationships/hyperlink" Target="https://www.cps.gov.uk/legal-guidance/safeguarding-children-victims-and-witness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fgm-mandatory-reporting-in-healthcare" TargetMode="External"/><Relationship Id="rId34" Type="http://schemas.openxmlformats.org/officeDocument/2006/relationships/hyperlink" Target="https://www.gov.uk/guidance/domestic-violence-and-abuse" TargetMode="External"/><Relationship Id="rId7" Type="http://schemas.openxmlformats.org/officeDocument/2006/relationships/footnotes" Target="footnotes.xml"/><Relationship Id="rId12" Type="http://schemas.openxmlformats.org/officeDocument/2006/relationships/hyperlink" Target="https://www.gov.uk/government/uploads/system/uploads/attachment_data/file/522166/VAWG_Strategy_FINAL_PUBLICATION_MASTER_vRB.PDF" TargetMode="External"/><Relationship Id="rId17" Type="http://schemas.openxmlformats.org/officeDocument/2006/relationships/hyperlink" Target="https://www.cps.gov.uk/publication/toolkit-prosecutors-violence-against-women-and-girls-cases-involving-vulnerable-victims" TargetMode="External"/><Relationship Id="rId25" Type="http://schemas.openxmlformats.org/officeDocument/2006/relationships/hyperlink" Target="https://www.cps.gov.uk/legal-guidance/witness-protection-and-anonymity" TargetMode="External"/><Relationship Id="rId33" Type="http://schemas.openxmlformats.org/officeDocument/2006/relationships/hyperlink" Target="https://www.cps.gov.uk/legal-guidance/domestic-abuse-guidelines-prosecutor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nmail.trustwave.com/?c=7089&amp;d=-aWh22b4Y4SDzyWdOskeoWuVXGu_JD5ju0TfBEooCA&amp;u=http%3a%2f%2fwww%2enpcc%2epolice%2euk%2fdocuments%2fPDF%20National%20Vulnerability%20Action%20Plan%20v1%2013Sep17%2epdf" TargetMode="External"/><Relationship Id="rId20" Type="http://schemas.openxmlformats.org/officeDocument/2006/relationships/hyperlink" Target="https://www.gov.uk/government/publications/multi-agency-statutory-guidance-on-female-genital-mutilation" TargetMode="External"/><Relationship Id="rId29" Type="http://schemas.openxmlformats.org/officeDocument/2006/relationships/hyperlink" Target="https://www.cps.gov.uk/legal-guidance/victims-crime-code-practice-cps-legal-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3F266.607AE890" TargetMode="External"/><Relationship Id="rId24" Type="http://schemas.openxmlformats.org/officeDocument/2006/relationships/hyperlink" Target="https://www.cps.gov.uk/publication/toolkit-prosecutors-violence-against-women-and-girls-cases-involving-vulnerable-victims" TargetMode="External"/><Relationship Id="rId32" Type="http://schemas.openxmlformats.org/officeDocument/2006/relationships/hyperlink" Target="https://www.cps.gov.uk/legal-guidance/interpreters"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app.college.police.uk/app-content/major-investigation-and-public-protection/female-genital-mutilation/" TargetMode="External"/><Relationship Id="rId23" Type="http://schemas.openxmlformats.org/officeDocument/2006/relationships/hyperlink" Target="https://www.cps.gov.uk/sites/default/files/documents/publications/npcc_cps_joint_evidence_gathering_checklist_2015.docm" TargetMode="External"/><Relationship Id="rId28" Type="http://schemas.openxmlformats.org/officeDocument/2006/relationships/hyperlink" Target="https://www.cps.gov.uk/legal-guidance/domestic-abuse-guidelines-prosecutors" TargetMode="External"/><Relationship Id="rId36" Type="http://schemas.openxmlformats.org/officeDocument/2006/relationships/hyperlink" Target="https://www.cps.gov.uk/legal-guidance/speaking-witnesses-court" TargetMode="External"/><Relationship Id="rId10" Type="http://schemas.openxmlformats.org/officeDocument/2006/relationships/image" Target="media/image2.png"/><Relationship Id="rId19" Type="http://schemas.openxmlformats.org/officeDocument/2006/relationships/hyperlink" Target="https://www.cps.gov.uk/sites/default/files/documents/publications/best_evidence_in_criminal_proceedings.pdf" TargetMode="External"/><Relationship Id="rId31" Type="http://schemas.openxmlformats.org/officeDocument/2006/relationships/hyperlink" Target="https://www.cps.gov.uk/publication/toolkit-prosecutors-violence-against-women-and-girls-cases-involving-vulnerable-victim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uploads/system/uploads/attachment_data/file/512906/Multi_Agency_Statutory_Guidance_on_FGM__-_FINAL.pdf" TargetMode="External"/><Relationship Id="rId22" Type="http://schemas.openxmlformats.org/officeDocument/2006/relationships/hyperlink" Target="https://www.cps.gov.uk/legal-guidance/domestic-abuse-guidelines-prosecutors" TargetMode="External"/><Relationship Id="rId27" Type="http://schemas.openxmlformats.org/officeDocument/2006/relationships/hyperlink" Target="https://www.cps.gov.uk/legal-guidance/disclosure-manual" TargetMode="External"/><Relationship Id="rId30" Type="http://schemas.openxmlformats.org/officeDocument/2006/relationships/hyperlink" Target="https://www.cps.gov.uk/legal-guidance/female-genital-mutilation-legal-guidance" TargetMode="External"/><Relationship Id="rId35" Type="http://schemas.openxmlformats.org/officeDocument/2006/relationships/hyperlink" Target="https://www.cps.gov.uk/legal-guidance/female-genital-mutilation-legal-guidan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female-genital-mutilation-protection-order" TargetMode="External"/><Relationship Id="rId3" Type="http://schemas.openxmlformats.org/officeDocument/2006/relationships/hyperlink" Target="https://www.cps.gov.uk/legal-guidance/domestic-abuse-guidelines-prosecutors" TargetMode="External"/><Relationship Id="rId7" Type="http://schemas.openxmlformats.org/officeDocument/2006/relationships/hyperlink" Target="mailto:mcis@nca.x.gsi.gov.uk" TargetMode="External"/><Relationship Id="rId2" Type="http://schemas.openxmlformats.org/officeDocument/2006/relationships/hyperlink" Target="https://www.cps.gov.uk/legal-guidance/controlling-or-coercive-behaviour-intimate-or-family-relationship" TargetMode="External"/><Relationship Id="rId1" Type="http://schemas.openxmlformats.org/officeDocument/2006/relationships/hyperlink" Target="http://www.ohchr.org/Documents/Issues/Women/15YearReviewofVAWMandate.pdf" TargetMode="External"/><Relationship Id="rId6" Type="http://schemas.openxmlformats.org/officeDocument/2006/relationships/hyperlink" Target="mailto:mcis@nca.pnn.police.uk" TargetMode="External"/><Relationship Id="rId5" Type="http://schemas.openxmlformats.org/officeDocument/2006/relationships/hyperlink" Target="https://www.app.college.police.uk/app-content/major-investigation-and-public-protection/domestic-abuse/" TargetMode="External"/><Relationship Id="rId4" Type="http://schemas.openxmlformats.org/officeDocument/2006/relationships/hyperlink" Target="https://www.cps.gov.uk/legal-guidance/domestic-abuse-guidelines-prosecu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4001-214B-4D1E-8BD5-2A12BE21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6865</Words>
  <Characters>39079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[INSERT NPCC LOGO]</vt:lpstr>
    </vt:vector>
  </TitlesOfParts>
  <Company>Crown Prosecution Service</Company>
  <LinksUpToDate>false</LinksUpToDate>
  <CharactersWithSpaces>45853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NPCC LOGO]</dc:title>
  <dc:creator>CPS</dc:creator>
  <cp:lastModifiedBy>CPS</cp:lastModifiedBy>
  <cp:revision>2</cp:revision>
  <cp:lastPrinted>2018-05-02T10:33:00Z</cp:lastPrinted>
  <dcterms:created xsi:type="dcterms:W3CDTF">2018-06-14T11:45:00Z</dcterms:created>
  <dcterms:modified xsi:type="dcterms:W3CDTF">2018-06-14T11:45:00Z</dcterms:modified>
</cp:coreProperties>
</file>