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01F" w:rsidRDefault="00C52773" w:rsidP="00754B8B">
      <w:bookmarkStart w:id="0" w:name="_GoBack"/>
      <w:bookmarkEnd w:id="0"/>
      <w:r>
        <w:rPr>
          <w:b/>
        </w:rPr>
        <w:t xml:space="preserve">Transfer of </w:t>
      </w:r>
      <w:r w:rsidR="00DA60C1">
        <w:rPr>
          <w:b/>
        </w:rPr>
        <w:t>“k</w:t>
      </w:r>
      <w:r>
        <w:rPr>
          <w:b/>
        </w:rPr>
        <w:t>eepership</w:t>
      </w:r>
      <w:r w:rsidR="00DA60C1">
        <w:rPr>
          <w:b/>
        </w:rPr>
        <w:t>”</w:t>
      </w:r>
      <w:r>
        <w:rPr>
          <w:b/>
        </w:rPr>
        <w:t xml:space="preserve"> of prohibited type dogs</w:t>
      </w:r>
    </w:p>
    <w:p w:rsidR="00AE2E2F" w:rsidRDefault="00C52773" w:rsidP="00F027B2">
      <w:pPr>
        <w:spacing w:after="100" w:afterAutospacing="1"/>
        <w:rPr>
          <w:sz w:val="22"/>
          <w:szCs w:val="22"/>
        </w:rPr>
      </w:pPr>
      <w:r w:rsidRPr="00C52773">
        <w:rPr>
          <w:sz w:val="22"/>
          <w:szCs w:val="22"/>
        </w:rPr>
        <w:t xml:space="preserve">This note </w:t>
      </w:r>
      <w:r w:rsidR="00F03307">
        <w:rPr>
          <w:sz w:val="22"/>
          <w:szCs w:val="22"/>
        </w:rPr>
        <w:t>deal</w:t>
      </w:r>
      <w:r w:rsidR="00207A51">
        <w:rPr>
          <w:sz w:val="22"/>
          <w:szCs w:val="22"/>
        </w:rPr>
        <w:t>s</w:t>
      </w:r>
      <w:r w:rsidR="00F03307">
        <w:rPr>
          <w:sz w:val="22"/>
          <w:szCs w:val="22"/>
        </w:rPr>
        <w:t xml:space="preserve"> with </w:t>
      </w:r>
      <w:r>
        <w:rPr>
          <w:sz w:val="22"/>
          <w:szCs w:val="22"/>
        </w:rPr>
        <w:t xml:space="preserve">concerns arising from the Exeter Crown Court case involving “Stella” a pit bull </w:t>
      </w:r>
      <w:r w:rsidR="00B97D29">
        <w:rPr>
          <w:sz w:val="22"/>
          <w:szCs w:val="22"/>
        </w:rPr>
        <w:t xml:space="preserve">terrier </w:t>
      </w:r>
      <w:r>
        <w:rPr>
          <w:sz w:val="22"/>
          <w:szCs w:val="22"/>
        </w:rPr>
        <w:t xml:space="preserve">that </w:t>
      </w:r>
      <w:r w:rsidR="00CA5F1D">
        <w:rPr>
          <w:sz w:val="22"/>
          <w:szCs w:val="22"/>
        </w:rPr>
        <w:t xml:space="preserve">has </w:t>
      </w:r>
      <w:r>
        <w:rPr>
          <w:sz w:val="22"/>
          <w:szCs w:val="22"/>
        </w:rPr>
        <w:t>been made subject to a C</w:t>
      </w:r>
      <w:r w:rsidR="003713B9">
        <w:rPr>
          <w:sz w:val="22"/>
          <w:szCs w:val="22"/>
        </w:rPr>
        <w:t xml:space="preserve">ontingent </w:t>
      </w:r>
      <w:r>
        <w:rPr>
          <w:sz w:val="22"/>
          <w:szCs w:val="22"/>
        </w:rPr>
        <w:t>D</w:t>
      </w:r>
      <w:r w:rsidR="003713B9">
        <w:rPr>
          <w:sz w:val="22"/>
          <w:szCs w:val="22"/>
        </w:rPr>
        <w:t xml:space="preserve">estruction </w:t>
      </w:r>
      <w:r>
        <w:rPr>
          <w:sz w:val="22"/>
          <w:szCs w:val="22"/>
        </w:rPr>
        <w:t>O</w:t>
      </w:r>
      <w:r w:rsidR="003713B9">
        <w:rPr>
          <w:sz w:val="22"/>
          <w:szCs w:val="22"/>
        </w:rPr>
        <w:t>rder (“CDO”)</w:t>
      </w:r>
      <w:r>
        <w:rPr>
          <w:sz w:val="22"/>
          <w:szCs w:val="22"/>
        </w:rPr>
        <w:t xml:space="preserve"> in the charge of someone other than the original owner of </w:t>
      </w:r>
      <w:r w:rsidR="00AE2E2F">
        <w:rPr>
          <w:sz w:val="22"/>
          <w:szCs w:val="22"/>
        </w:rPr>
        <w:t>Stella</w:t>
      </w:r>
      <w:r>
        <w:rPr>
          <w:sz w:val="22"/>
          <w:szCs w:val="22"/>
        </w:rPr>
        <w:t xml:space="preserve">. </w:t>
      </w:r>
      <w:r w:rsidR="008D5666">
        <w:rPr>
          <w:sz w:val="22"/>
          <w:szCs w:val="22"/>
        </w:rPr>
        <w:t xml:space="preserve">Stella </w:t>
      </w:r>
      <w:r w:rsidR="00CA5F1D">
        <w:rPr>
          <w:sz w:val="22"/>
          <w:szCs w:val="22"/>
        </w:rPr>
        <w:t xml:space="preserve">is </w:t>
      </w:r>
      <w:r w:rsidR="008D5666">
        <w:rPr>
          <w:sz w:val="22"/>
          <w:szCs w:val="22"/>
        </w:rPr>
        <w:t xml:space="preserve">a dog that was not exempt and never had been.  </w:t>
      </w:r>
      <w:r w:rsidR="00175855">
        <w:rPr>
          <w:sz w:val="22"/>
          <w:szCs w:val="22"/>
        </w:rPr>
        <w:t xml:space="preserve">It is illegal to give away or abandon a prohibited dog so the Crown Court order </w:t>
      </w:r>
      <w:r w:rsidR="0054423E">
        <w:rPr>
          <w:sz w:val="22"/>
          <w:szCs w:val="22"/>
        </w:rPr>
        <w:t>(HHJ Cottle and two Magistrates</w:t>
      </w:r>
      <w:r w:rsidR="00162E32">
        <w:rPr>
          <w:sz w:val="22"/>
          <w:szCs w:val="22"/>
        </w:rPr>
        <w:t>)</w:t>
      </w:r>
      <w:r w:rsidR="0054423E">
        <w:rPr>
          <w:sz w:val="22"/>
          <w:szCs w:val="22"/>
        </w:rPr>
        <w:t xml:space="preserve"> </w:t>
      </w:r>
      <w:r w:rsidR="00175855">
        <w:rPr>
          <w:sz w:val="22"/>
          <w:szCs w:val="22"/>
        </w:rPr>
        <w:t>should be</w:t>
      </w:r>
      <w:r w:rsidR="00162E32">
        <w:rPr>
          <w:sz w:val="22"/>
          <w:szCs w:val="22"/>
        </w:rPr>
        <w:t xml:space="preserve"> seen in this context</w:t>
      </w:r>
      <w:r w:rsidR="00175855">
        <w:rPr>
          <w:sz w:val="22"/>
          <w:szCs w:val="22"/>
        </w:rPr>
        <w:t xml:space="preserve">. </w:t>
      </w:r>
    </w:p>
    <w:p w:rsidR="00207A51" w:rsidRDefault="00175855" w:rsidP="00F027B2">
      <w:pPr>
        <w:spacing w:after="100" w:afterAutospacing="1"/>
        <w:rPr>
          <w:sz w:val="22"/>
          <w:szCs w:val="22"/>
        </w:rPr>
      </w:pPr>
      <w:r>
        <w:rPr>
          <w:sz w:val="22"/>
          <w:szCs w:val="22"/>
        </w:rPr>
        <w:t xml:space="preserve">The CDO was made saying </w:t>
      </w:r>
      <w:r w:rsidR="0054423E">
        <w:rPr>
          <w:sz w:val="22"/>
          <w:szCs w:val="22"/>
        </w:rPr>
        <w:t>Carolyn</w:t>
      </w:r>
      <w:r w:rsidR="001F149C">
        <w:rPr>
          <w:sz w:val="22"/>
          <w:szCs w:val="22"/>
        </w:rPr>
        <w:t>e</w:t>
      </w:r>
      <w:r w:rsidR="0054423E">
        <w:rPr>
          <w:sz w:val="22"/>
          <w:szCs w:val="22"/>
        </w:rPr>
        <w:t xml:space="preserve"> Pharaoh</w:t>
      </w:r>
      <w:r w:rsidR="00B97D29">
        <w:rPr>
          <w:sz w:val="22"/>
          <w:szCs w:val="22"/>
        </w:rPr>
        <w:t>,</w:t>
      </w:r>
      <w:r w:rsidR="0054423E">
        <w:rPr>
          <w:sz w:val="22"/>
          <w:szCs w:val="22"/>
        </w:rPr>
        <w:t xml:space="preserve"> the kennel</w:t>
      </w:r>
      <w:r w:rsidR="001F149C">
        <w:rPr>
          <w:sz w:val="22"/>
          <w:szCs w:val="22"/>
        </w:rPr>
        <w:t xml:space="preserve"> owner</w:t>
      </w:r>
      <w:r w:rsidR="0054423E">
        <w:rPr>
          <w:sz w:val="22"/>
          <w:szCs w:val="22"/>
        </w:rPr>
        <w:t xml:space="preserve"> where Stella </w:t>
      </w:r>
      <w:r>
        <w:rPr>
          <w:sz w:val="22"/>
          <w:szCs w:val="22"/>
        </w:rPr>
        <w:t>was held for over a year</w:t>
      </w:r>
      <w:r w:rsidR="00B97D29">
        <w:rPr>
          <w:sz w:val="22"/>
          <w:szCs w:val="22"/>
        </w:rPr>
        <w:t>,</w:t>
      </w:r>
      <w:r w:rsidR="004420B5">
        <w:rPr>
          <w:sz w:val="22"/>
          <w:szCs w:val="22"/>
        </w:rPr>
        <w:t xml:space="preserve"> could become the keeper</w:t>
      </w:r>
      <w:r>
        <w:rPr>
          <w:sz w:val="22"/>
          <w:szCs w:val="22"/>
        </w:rPr>
        <w:t xml:space="preserve">. </w:t>
      </w:r>
      <w:r w:rsidR="0054423E">
        <w:rPr>
          <w:sz w:val="22"/>
          <w:szCs w:val="22"/>
        </w:rPr>
        <w:t>Antony Hastie</w:t>
      </w:r>
      <w:r w:rsidR="00B97D29">
        <w:rPr>
          <w:sz w:val="22"/>
          <w:szCs w:val="22"/>
        </w:rPr>
        <w:t>,</w:t>
      </w:r>
      <w:r w:rsidR="0054423E">
        <w:rPr>
          <w:sz w:val="22"/>
          <w:szCs w:val="22"/>
        </w:rPr>
        <w:t xml:space="preserve"> who was convicted of possessing Stella</w:t>
      </w:r>
      <w:r w:rsidR="00B97D29">
        <w:rPr>
          <w:sz w:val="22"/>
          <w:szCs w:val="22"/>
        </w:rPr>
        <w:t>,</w:t>
      </w:r>
      <w:r w:rsidR="0054423E">
        <w:rPr>
          <w:sz w:val="22"/>
          <w:szCs w:val="22"/>
        </w:rPr>
        <w:t xml:space="preserve"> remains the </w:t>
      </w:r>
      <w:r w:rsidR="00F03307">
        <w:rPr>
          <w:sz w:val="22"/>
          <w:szCs w:val="22"/>
        </w:rPr>
        <w:t xml:space="preserve">legal </w:t>
      </w:r>
      <w:r w:rsidR="0054423E">
        <w:rPr>
          <w:sz w:val="22"/>
          <w:szCs w:val="22"/>
        </w:rPr>
        <w:t>owner</w:t>
      </w:r>
      <w:r w:rsidR="00162E32">
        <w:rPr>
          <w:sz w:val="22"/>
          <w:szCs w:val="22"/>
        </w:rPr>
        <w:t xml:space="preserve"> </w:t>
      </w:r>
      <w:r w:rsidR="00AE2E2F">
        <w:rPr>
          <w:sz w:val="22"/>
          <w:szCs w:val="22"/>
        </w:rPr>
        <w:t xml:space="preserve">of Stella </w:t>
      </w:r>
      <w:r w:rsidR="00162E32">
        <w:rPr>
          <w:sz w:val="22"/>
          <w:szCs w:val="22"/>
        </w:rPr>
        <w:t xml:space="preserve">but may not </w:t>
      </w:r>
      <w:r w:rsidR="003C1E84">
        <w:rPr>
          <w:sz w:val="22"/>
          <w:szCs w:val="22"/>
        </w:rPr>
        <w:t xml:space="preserve">easily </w:t>
      </w:r>
      <w:r w:rsidR="00162E32">
        <w:rPr>
          <w:sz w:val="22"/>
          <w:szCs w:val="22"/>
        </w:rPr>
        <w:t xml:space="preserve">assume </w:t>
      </w:r>
      <w:r w:rsidR="00CF6EB2">
        <w:rPr>
          <w:sz w:val="22"/>
          <w:szCs w:val="22"/>
        </w:rPr>
        <w:t>“</w:t>
      </w:r>
      <w:r w:rsidR="00162E32">
        <w:rPr>
          <w:sz w:val="22"/>
          <w:szCs w:val="22"/>
        </w:rPr>
        <w:t>keepership</w:t>
      </w:r>
      <w:r w:rsidR="00CF6EB2">
        <w:rPr>
          <w:sz w:val="22"/>
          <w:szCs w:val="22"/>
        </w:rPr>
        <w:t>”</w:t>
      </w:r>
      <w:r w:rsidR="00162E32">
        <w:rPr>
          <w:sz w:val="22"/>
          <w:szCs w:val="22"/>
        </w:rPr>
        <w:t xml:space="preserve"> of Stella</w:t>
      </w:r>
      <w:r w:rsidR="00F03307">
        <w:rPr>
          <w:sz w:val="22"/>
          <w:szCs w:val="22"/>
        </w:rPr>
        <w:t xml:space="preserve"> for the reasons set out in paragraph </w:t>
      </w:r>
      <w:r w:rsidR="00A94045">
        <w:rPr>
          <w:sz w:val="22"/>
          <w:szCs w:val="22"/>
        </w:rPr>
        <w:fldChar w:fldCharType="begin"/>
      </w:r>
      <w:r w:rsidR="00A94045">
        <w:rPr>
          <w:sz w:val="22"/>
          <w:szCs w:val="22"/>
        </w:rPr>
        <w:instrText xml:space="preserve"> REF _Ref457569867 \r \h </w:instrText>
      </w:r>
      <w:r w:rsidR="00A94045">
        <w:rPr>
          <w:sz w:val="22"/>
          <w:szCs w:val="22"/>
        </w:rPr>
      </w:r>
      <w:r w:rsidR="00A94045">
        <w:rPr>
          <w:sz w:val="22"/>
          <w:szCs w:val="22"/>
        </w:rPr>
        <w:fldChar w:fldCharType="separate"/>
      </w:r>
      <w:r w:rsidR="00A94045">
        <w:rPr>
          <w:sz w:val="22"/>
          <w:szCs w:val="22"/>
        </w:rPr>
        <w:t>4</w:t>
      </w:r>
      <w:r w:rsidR="00A94045">
        <w:rPr>
          <w:sz w:val="22"/>
          <w:szCs w:val="22"/>
        </w:rPr>
        <w:fldChar w:fldCharType="end"/>
      </w:r>
      <w:r w:rsidR="00A94045">
        <w:rPr>
          <w:sz w:val="22"/>
          <w:szCs w:val="22"/>
        </w:rPr>
        <w:t xml:space="preserve"> </w:t>
      </w:r>
      <w:r w:rsidR="00F03307">
        <w:rPr>
          <w:sz w:val="22"/>
          <w:szCs w:val="22"/>
        </w:rPr>
        <w:t xml:space="preserve">below. </w:t>
      </w:r>
      <w:r w:rsidR="0054423E">
        <w:rPr>
          <w:sz w:val="22"/>
          <w:szCs w:val="22"/>
        </w:rPr>
        <w:t xml:space="preserve"> </w:t>
      </w:r>
    </w:p>
    <w:p w:rsidR="00A94045" w:rsidRDefault="00A94045" w:rsidP="004707B7">
      <w:pPr>
        <w:spacing w:after="100" w:afterAutospacing="1"/>
        <w:rPr>
          <w:sz w:val="22"/>
          <w:szCs w:val="22"/>
        </w:rPr>
      </w:pPr>
      <w:r>
        <w:rPr>
          <w:sz w:val="22"/>
          <w:szCs w:val="22"/>
        </w:rPr>
        <w:t xml:space="preserve">Following amendments made to the </w:t>
      </w:r>
      <w:r>
        <w:rPr>
          <w:i/>
          <w:sz w:val="22"/>
          <w:szCs w:val="22"/>
        </w:rPr>
        <w:t>Dangerous Dogs Act 1991</w:t>
      </w:r>
      <w:r>
        <w:rPr>
          <w:sz w:val="22"/>
          <w:szCs w:val="22"/>
        </w:rPr>
        <w:t xml:space="preserve"> (“the DDA”) a</w:t>
      </w:r>
      <w:r w:rsidR="00C54071">
        <w:rPr>
          <w:sz w:val="22"/>
          <w:szCs w:val="22"/>
        </w:rPr>
        <w:t>ny</w:t>
      </w:r>
      <w:r>
        <w:rPr>
          <w:sz w:val="22"/>
          <w:szCs w:val="22"/>
        </w:rPr>
        <w:t xml:space="preserve"> person proposed to be in charge of a prohibited dog must have been assessed by a Court as a </w:t>
      </w:r>
      <w:r w:rsidR="00990DFD">
        <w:rPr>
          <w:sz w:val="22"/>
          <w:szCs w:val="22"/>
        </w:rPr>
        <w:t>“</w:t>
      </w:r>
      <w:r>
        <w:rPr>
          <w:sz w:val="22"/>
          <w:szCs w:val="22"/>
        </w:rPr>
        <w:t>fit and proper person</w:t>
      </w:r>
      <w:r w:rsidR="00990DFD">
        <w:rPr>
          <w:sz w:val="22"/>
          <w:szCs w:val="22"/>
        </w:rPr>
        <w:t>”</w:t>
      </w:r>
      <w:r>
        <w:rPr>
          <w:sz w:val="22"/>
          <w:szCs w:val="22"/>
        </w:rPr>
        <w:t xml:space="preserve"> for this purpose as part of the Court’s determination as to whether the dog poses a danger to public safety.  Only a natural person may be assessed by a Court (i.e. not a company or charity etc.)  This position is </w:t>
      </w:r>
      <w:r w:rsidR="00C54071">
        <w:rPr>
          <w:sz w:val="22"/>
          <w:szCs w:val="22"/>
        </w:rPr>
        <w:t xml:space="preserve">made plain </w:t>
      </w:r>
      <w:r>
        <w:rPr>
          <w:sz w:val="22"/>
          <w:szCs w:val="22"/>
        </w:rPr>
        <w:t xml:space="preserve">in </w:t>
      </w:r>
      <w:r w:rsidR="00CF6EB2">
        <w:rPr>
          <w:sz w:val="22"/>
          <w:szCs w:val="22"/>
        </w:rPr>
        <w:t xml:space="preserve">article 2 of </w:t>
      </w:r>
      <w:r>
        <w:rPr>
          <w:sz w:val="22"/>
          <w:szCs w:val="22"/>
        </w:rPr>
        <w:t xml:space="preserve">the </w:t>
      </w:r>
      <w:r>
        <w:rPr>
          <w:i/>
          <w:sz w:val="22"/>
          <w:szCs w:val="22"/>
        </w:rPr>
        <w:t xml:space="preserve">Dangerous Dogs Exemption Schemes (England and Wales) Order 2015 </w:t>
      </w:r>
      <w:r>
        <w:rPr>
          <w:sz w:val="22"/>
          <w:szCs w:val="22"/>
        </w:rPr>
        <w:t xml:space="preserve">(“the 2015 Order”) which confirms that “person” for the purposes of that Order is a natural person only. </w:t>
      </w:r>
    </w:p>
    <w:p w:rsidR="0054423E" w:rsidRDefault="0054423E" w:rsidP="00F027B2">
      <w:pPr>
        <w:autoSpaceDE w:val="0"/>
        <w:autoSpaceDN w:val="0"/>
        <w:adjustRightInd w:val="0"/>
        <w:spacing w:line="240" w:lineRule="auto"/>
        <w:rPr>
          <w:b/>
          <w:sz w:val="22"/>
          <w:szCs w:val="22"/>
        </w:rPr>
      </w:pPr>
      <w:r>
        <w:rPr>
          <w:b/>
          <w:sz w:val="22"/>
          <w:szCs w:val="22"/>
        </w:rPr>
        <w:t xml:space="preserve">Does the case of “Stella” create authority for </w:t>
      </w:r>
      <w:r w:rsidR="003C1E84">
        <w:rPr>
          <w:b/>
          <w:sz w:val="22"/>
          <w:szCs w:val="22"/>
        </w:rPr>
        <w:t xml:space="preserve">casual </w:t>
      </w:r>
      <w:r>
        <w:rPr>
          <w:b/>
          <w:sz w:val="22"/>
          <w:szCs w:val="22"/>
        </w:rPr>
        <w:t>transfer of “keepership”?</w:t>
      </w:r>
    </w:p>
    <w:p w:rsidR="0054423E" w:rsidRDefault="00162E32" w:rsidP="00F027B2">
      <w:pPr>
        <w:numPr>
          <w:ilvl w:val="0"/>
          <w:numId w:val="13"/>
        </w:numPr>
        <w:autoSpaceDE w:val="0"/>
        <w:autoSpaceDN w:val="0"/>
        <w:adjustRightInd w:val="0"/>
        <w:spacing w:after="100" w:afterAutospacing="1"/>
        <w:ind w:left="426"/>
        <w:rPr>
          <w:sz w:val="22"/>
          <w:szCs w:val="22"/>
        </w:rPr>
      </w:pPr>
      <w:r>
        <w:rPr>
          <w:sz w:val="22"/>
          <w:szCs w:val="22"/>
        </w:rPr>
        <w:t>T</w:t>
      </w:r>
      <w:r w:rsidR="0054423E">
        <w:rPr>
          <w:sz w:val="22"/>
          <w:szCs w:val="22"/>
        </w:rPr>
        <w:t xml:space="preserve">he case of Stella </w:t>
      </w:r>
      <w:r w:rsidR="00F03307">
        <w:rPr>
          <w:sz w:val="22"/>
          <w:szCs w:val="22"/>
        </w:rPr>
        <w:t xml:space="preserve">does not </w:t>
      </w:r>
      <w:r w:rsidR="0054423E">
        <w:rPr>
          <w:sz w:val="22"/>
          <w:szCs w:val="22"/>
        </w:rPr>
        <w:t>create a precedent allow</w:t>
      </w:r>
      <w:r w:rsidR="00F03307">
        <w:rPr>
          <w:sz w:val="22"/>
          <w:szCs w:val="22"/>
        </w:rPr>
        <w:t>ing</w:t>
      </w:r>
      <w:r w:rsidR="0054423E">
        <w:rPr>
          <w:sz w:val="22"/>
          <w:szCs w:val="22"/>
        </w:rPr>
        <w:t xml:space="preserve"> </w:t>
      </w:r>
      <w:r w:rsidR="00F03307">
        <w:rPr>
          <w:sz w:val="22"/>
          <w:szCs w:val="22"/>
        </w:rPr>
        <w:t>C</w:t>
      </w:r>
      <w:r w:rsidR="0054423E">
        <w:rPr>
          <w:sz w:val="22"/>
          <w:szCs w:val="22"/>
        </w:rPr>
        <w:t xml:space="preserve">ourts to transfer “keepership” to anyone that appears before the </w:t>
      </w:r>
      <w:r w:rsidR="00F03307">
        <w:rPr>
          <w:sz w:val="22"/>
          <w:szCs w:val="22"/>
        </w:rPr>
        <w:t>C</w:t>
      </w:r>
      <w:r w:rsidR="0054423E">
        <w:rPr>
          <w:sz w:val="22"/>
          <w:szCs w:val="22"/>
        </w:rPr>
        <w:t xml:space="preserve">ourt </w:t>
      </w:r>
      <w:r w:rsidR="00AE2E2F">
        <w:rPr>
          <w:sz w:val="22"/>
          <w:szCs w:val="22"/>
        </w:rPr>
        <w:t xml:space="preserve">wishing to </w:t>
      </w:r>
      <w:r w:rsidR="0054423E">
        <w:rPr>
          <w:sz w:val="22"/>
          <w:szCs w:val="22"/>
        </w:rPr>
        <w:t xml:space="preserve">take charge of a dog that would otherwise be destroyed.  </w:t>
      </w:r>
      <w:r w:rsidR="00F03307">
        <w:rPr>
          <w:sz w:val="22"/>
          <w:szCs w:val="22"/>
        </w:rPr>
        <w:t>(</w:t>
      </w:r>
      <w:r w:rsidR="0054423E">
        <w:rPr>
          <w:sz w:val="22"/>
          <w:szCs w:val="22"/>
        </w:rPr>
        <w:t xml:space="preserve">This was a Crown Court case on appeal from a Magistrates’ Court decision to order the destruction of Stella </w:t>
      </w:r>
      <w:r w:rsidR="008006DB">
        <w:rPr>
          <w:sz w:val="22"/>
          <w:szCs w:val="22"/>
        </w:rPr>
        <w:t>a</w:t>
      </w:r>
      <w:r w:rsidR="0054423E">
        <w:rPr>
          <w:sz w:val="22"/>
          <w:szCs w:val="22"/>
        </w:rPr>
        <w:t>nd therefore has no precedent value.</w:t>
      </w:r>
      <w:r w:rsidR="00F03307">
        <w:rPr>
          <w:sz w:val="22"/>
          <w:szCs w:val="22"/>
        </w:rPr>
        <w:t>)</w:t>
      </w:r>
      <w:r w:rsidR="0054423E">
        <w:rPr>
          <w:sz w:val="22"/>
          <w:szCs w:val="22"/>
        </w:rPr>
        <w:t xml:space="preserve"> </w:t>
      </w:r>
    </w:p>
    <w:p w:rsidR="002D19FD" w:rsidRDefault="0054423E" w:rsidP="00F027B2">
      <w:pPr>
        <w:numPr>
          <w:ilvl w:val="0"/>
          <w:numId w:val="13"/>
        </w:numPr>
        <w:autoSpaceDE w:val="0"/>
        <w:autoSpaceDN w:val="0"/>
        <w:adjustRightInd w:val="0"/>
        <w:spacing w:after="100" w:afterAutospacing="1"/>
        <w:ind w:left="426"/>
        <w:rPr>
          <w:sz w:val="22"/>
          <w:szCs w:val="22"/>
        </w:rPr>
      </w:pPr>
      <w:r>
        <w:rPr>
          <w:sz w:val="22"/>
          <w:szCs w:val="22"/>
        </w:rPr>
        <w:t>The circumstances of the Stella case were that Carolyn</w:t>
      </w:r>
      <w:r w:rsidR="001F149C">
        <w:rPr>
          <w:sz w:val="22"/>
          <w:szCs w:val="22"/>
        </w:rPr>
        <w:t>e</w:t>
      </w:r>
      <w:r>
        <w:rPr>
          <w:sz w:val="22"/>
          <w:szCs w:val="22"/>
        </w:rPr>
        <w:t xml:space="preserve"> </w:t>
      </w:r>
      <w:r w:rsidR="00B97D29">
        <w:rPr>
          <w:sz w:val="22"/>
          <w:szCs w:val="22"/>
        </w:rPr>
        <w:t>Pharaoh,</w:t>
      </w:r>
      <w:r>
        <w:rPr>
          <w:sz w:val="22"/>
          <w:szCs w:val="22"/>
        </w:rPr>
        <w:t xml:space="preserve"> the kennel </w:t>
      </w:r>
      <w:r w:rsidR="001F149C">
        <w:rPr>
          <w:sz w:val="22"/>
          <w:szCs w:val="22"/>
        </w:rPr>
        <w:t>owner</w:t>
      </w:r>
      <w:r w:rsidR="00B97D29">
        <w:rPr>
          <w:sz w:val="22"/>
          <w:szCs w:val="22"/>
        </w:rPr>
        <w:t>,</w:t>
      </w:r>
      <w:r>
        <w:rPr>
          <w:sz w:val="22"/>
          <w:szCs w:val="22"/>
        </w:rPr>
        <w:t xml:space="preserve"> had been in charge of the dog at the </w:t>
      </w:r>
      <w:r w:rsidR="00AE2E2F">
        <w:rPr>
          <w:sz w:val="22"/>
          <w:szCs w:val="22"/>
        </w:rPr>
        <w:t xml:space="preserve">time </w:t>
      </w:r>
      <w:r>
        <w:rPr>
          <w:sz w:val="22"/>
          <w:szCs w:val="22"/>
        </w:rPr>
        <w:t>the matter was being considered by the Crown Court</w:t>
      </w:r>
      <w:r w:rsidR="001F149C">
        <w:rPr>
          <w:sz w:val="22"/>
          <w:szCs w:val="22"/>
        </w:rPr>
        <w:t xml:space="preserve"> and had been closely involved in modifying Stella’s behaviour whilst at the kennels. The </w:t>
      </w:r>
      <w:r w:rsidR="00536CBB">
        <w:rPr>
          <w:sz w:val="22"/>
          <w:szCs w:val="22"/>
        </w:rPr>
        <w:t>Court was properly able to consider Carolyn</w:t>
      </w:r>
      <w:r w:rsidR="001F149C">
        <w:rPr>
          <w:sz w:val="22"/>
          <w:szCs w:val="22"/>
        </w:rPr>
        <w:t>e</w:t>
      </w:r>
      <w:r w:rsidR="00536CBB">
        <w:rPr>
          <w:sz w:val="22"/>
          <w:szCs w:val="22"/>
        </w:rPr>
        <w:t xml:space="preserve"> Pharaoh for the “fit and proper person” test in accordance with the wording of section 4(1B)(a)(ii)</w:t>
      </w:r>
      <w:r w:rsidR="00CF6EB2">
        <w:rPr>
          <w:sz w:val="22"/>
          <w:szCs w:val="22"/>
        </w:rPr>
        <w:t xml:space="preserve"> of the DDA</w:t>
      </w:r>
      <w:r w:rsidR="00536CBB">
        <w:rPr>
          <w:sz w:val="22"/>
          <w:szCs w:val="22"/>
        </w:rPr>
        <w:t xml:space="preserve"> (explained further under Legislation – transfer of “keepership” of non-exempted prohibited dogs)</w:t>
      </w:r>
      <w:r>
        <w:rPr>
          <w:sz w:val="22"/>
          <w:szCs w:val="22"/>
        </w:rPr>
        <w:t xml:space="preserve">.  The Court was satisfied </w:t>
      </w:r>
      <w:r w:rsidR="001F149C">
        <w:rPr>
          <w:sz w:val="22"/>
          <w:szCs w:val="22"/>
        </w:rPr>
        <w:t>from hearing Carolyne on oath</w:t>
      </w:r>
      <w:r>
        <w:rPr>
          <w:sz w:val="22"/>
          <w:szCs w:val="22"/>
        </w:rPr>
        <w:t xml:space="preserve"> that </w:t>
      </w:r>
      <w:r w:rsidR="001F149C">
        <w:rPr>
          <w:sz w:val="22"/>
          <w:szCs w:val="22"/>
        </w:rPr>
        <w:t xml:space="preserve">she </w:t>
      </w:r>
      <w:r>
        <w:rPr>
          <w:sz w:val="22"/>
          <w:szCs w:val="22"/>
        </w:rPr>
        <w:t>was a fit and proper person to be in charge of the dog</w:t>
      </w:r>
      <w:r w:rsidR="001F149C">
        <w:rPr>
          <w:sz w:val="22"/>
          <w:szCs w:val="22"/>
        </w:rPr>
        <w:t xml:space="preserve"> </w:t>
      </w:r>
      <w:r w:rsidR="00D20DE1">
        <w:rPr>
          <w:sz w:val="22"/>
          <w:szCs w:val="22"/>
        </w:rPr>
        <w:t>including evidence of</w:t>
      </w:r>
      <w:r w:rsidR="001F149C">
        <w:rPr>
          <w:sz w:val="22"/>
          <w:szCs w:val="22"/>
        </w:rPr>
        <w:t xml:space="preserve"> a police assessment</w:t>
      </w:r>
      <w:r w:rsidR="00FD67A6">
        <w:rPr>
          <w:sz w:val="22"/>
          <w:szCs w:val="22"/>
        </w:rPr>
        <w:t xml:space="preserve"> of Carolyne Pharaoh’s ability to cope with and minimise the potential risks</w:t>
      </w:r>
      <w:r w:rsidR="00F33060">
        <w:rPr>
          <w:sz w:val="22"/>
          <w:szCs w:val="22"/>
        </w:rPr>
        <w:t xml:space="preserve"> posed by </w:t>
      </w:r>
      <w:r w:rsidR="00FD67A6">
        <w:rPr>
          <w:sz w:val="22"/>
          <w:szCs w:val="22"/>
        </w:rPr>
        <w:t>the dog, taking into account the home and conditions where Stella would be kept</w:t>
      </w:r>
      <w:r>
        <w:rPr>
          <w:sz w:val="22"/>
          <w:szCs w:val="22"/>
        </w:rPr>
        <w:t xml:space="preserve">. </w:t>
      </w:r>
      <w:r w:rsidR="00162E32">
        <w:rPr>
          <w:sz w:val="22"/>
          <w:szCs w:val="22"/>
        </w:rPr>
        <w:t>The Court also considered that Stella’s own</w:t>
      </w:r>
      <w:r w:rsidR="001F149C">
        <w:rPr>
          <w:sz w:val="22"/>
          <w:szCs w:val="22"/>
        </w:rPr>
        <w:t xml:space="preserve"> modified</w:t>
      </w:r>
      <w:r w:rsidR="00162E32">
        <w:rPr>
          <w:sz w:val="22"/>
          <w:szCs w:val="22"/>
        </w:rPr>
        <w:t xml:space="preserve"> temperament </w:t>
      </w:r>
      <w:r w:rsidR="001F149C">
        <w:rPr>
          <w:sz w:val="22"/>
          <w:szCs w:val="22"/>
        </w:rPr>
        <w:t xml:space="preserve">at the point the Court was considering the case </w:t>
      </w:r>
      <w:r w:rsidR="00162E32">
        <w:rPr>
          <w:sz w:val="22"/>
          <w:szCs w:val="22"/>
        </w:rPr>
        <w:t xml:space="preserve">meant “there was no danger to public safety”. </w:t>
      </w:r>
    </w:p>
    <w:p w:rsidR="0054423E" w:rsidRDefault="002D19FD" w:rsidP="00F027B2">
      <w:pPr>
        <w:numPr>
          <w:ilvl w:val="0"/>
          <w:numId w:val="13"/>
        </w:numPr>
        <w:autoSpaceDE w:val="0"/>
        <w:autoSpaceDN w:val="0"/>
        <w:adjustRightInd w:val="0"/>
        <w:spacing w:after="100" w:afterAutospacing="1"/>
        <w:ind w:left="426"/>
        <w:rPr>
          <w:sz w:val="22"/>
          <w:szCs w:val="22"/>
        </w:rPr>
      </w:pPr>
      <w:r>
        <w:rPr>
          <w:sz w:val="22"/>
          <w:szCs w:val="22"/>
        </w:rPr>
        <w:t xml:space="preserve">The circumstances of Stella’s case were </w:t>
      </w:r>
      <w:r w:rsidR="00C54071">
        <w:rPr>
          <w:sz w:val="22"/>
          <w:szCs w:val="22"/>
        </w:rPr>
        <w:t xml:space="preserve">almost </w:t>
      </w:r>
      <w:r>
        <w:rPr>
          <w:sz w:val="22"/>
          <w:szCs w:val="22"/>
        </w:rPr>
        <w:t>unique as Carolyn</w:t>
      </w:r>
      <w:r w:rsidR="001F149C">
        <w:rPr>
          <w:sz w:val="22"/>
          <w:szCs w:val="22"/>
        </w:rPr>
        <w:t>e</w:t>
      </w:r>
      <w:r>
        <w:rPr>
          <w:sz w:val="22"/>
          <w:szCs w:val="22"/>
        </w:rPr>
        <w:t xml:space="preserve"> Pharaoh, without breaching the law, had as a matter of fact been in charge of Stella at the </w:t>
      </w:r>
      <w:r w:rsidR="00C54071">
        <w:rPr>
          <w:sz w:val="22"/>
          <w:szCs w:val="22"/>
        </w:rPr>
        <w:t xml:space="preserve">time </w:t>
      </w:r>
      <w:r>
        <w:rPr>
          <w:sz w:val="22"/>
          <w:szCs w:val="22"/>
        </w:rPr>
        <w:t xml:space="preserve">the matter was considered and therefore exceptionally the Court was able to assess someone other than the owner of Stella as part of the “no danger to public safety test”.  </w:t>
      </w:r>
    </w:p>
    <w:p w:rsidR="00C52773" w:rsidRPr="008F1F40" w:rsidRDefault="00C52773" w:rsidP="00F027B2">
      <w:pPr>
        <w:rPr>
          <w:b/>
          <w:sz w:val="22"/>
          <w:szCs w:val="22"/>
        </w:rPr>
      </w:pPr>
      <w:r w:rsidRPr="008F1F40">
        <w:rPr>
          <w:b/>
          <w:i/>
          <w:sz w:val="22"/>
          <w:szCs w:val="22"/>
        </w:rPr>
        <w:t xml:space="preserve">Legislation – transfer of </w:t>
      </w:r>
      <w:r w:rsidR="008F1F40" w:rsidRPr="008F1F40">
        <w:rPr>
          <w:b/>
          <w:i/>
          <w:sz w:val="22"/>
          <w:szCs w:val="22"/>
        </w:rPr>
        <w:t>“</w:t>
      </w:r>
      <w:r w:rsidRPr="008F1F40">
        <w:rPr>
          <w:b/>
          <w:i/>
          <w:sz w:val="22"/>
          <w:szCs w:val="22"/>
        </w:rPr>
        <w:t>keepership</w:t>
      </w:r>
      <w:r w:rsidR="008F1F40" w:rsidRPr="008F1F40">
        <w:rPr>
          <w:b/>
          <w:i/>
          <w:sz w:val="22"/>
          <w:szCs w:val="22"/>
        </w:rPr>
        <w:t>”</w:t>
      </w:r>
      <w:r w:rsidRPr="008F1F40">
        <w:rPr>
          <w:b/>
          <w:i/>
          <w:sz w:val="22"/>
          <w:szCs w:val="22"/>
        </w:rPr>
        <w:t xml:space="preserve"> of exempted dogs</w:t>
      </w:r>
    </w:p>
    <w:p w:rsidR="008F1F40" w:rsidRDefault="008F1F40" w:rsidP="00F027B2">
      <w:pPr>
        <w:numPr>
          <w:ilvl w:val="0"/>
          <w:numId w:val="13"/>
        </w:numPr>
        <w:spacing w:after="100" w:afterAutospacing="1"/>
        <w:ind w:left="426"/>
        <w:rPr>
          <w:sz w:val="22"/>
          <w:szCs w:val="22"/>
        </w:rPr>
      </w:pPr>
      <w:bookmarkStart w:id="1" w:name="_Ref457569867"/>
      <w:r>
        <w:rPr>
          <w:sz w:val="22"/>
          <w:szCs w:val="22"/>
        </w:rPr>
        <w:t>The only way to l</w:t>
      </w:r>
      <w:r w:rsidR="00C52773">
        <w:rPr>
          <w:sz w:val="22"/>
          <w:szCs w:val="22"/>
        </w:rPr>
        <w:t>awful</w:t>
      </w:r>
      <w:r>
        <w:rPr>
          <w:sz w:val="22"/>
          <w:szCs w:val="22"/>
        </w:rPr>
        <w:t>ly</w:t>
      </w:r>
      <w:r w:rsidR="00C52773">
        <w:rPr>
          <w:sz w:val="22"/>
          <w:szCs w:val="22"/>
        </w:rPr>
        <w:t xml:space="preserve"> transfer </w:t>
      </w:r>
      <w:r>
        <w:rPr>
          <w:sz w:val="22"/>
          <w:szCs w:val="22"/>
        </w:rPr>
        <w:t>“</w:t>
      </w:r>
      <w:r w:rsidR="00C52773">
        <w:rPr>
          <w:sz w:val="22"/>
          <w:szCs w:val="22"/>
        </w:rPr>
        <w:t>keepership</w:t>
      </w:r>
      <w:r>
        <w:rPr>
          <w:sz w:val="22"/>
          <w:szCs w:val="22"/>
        </w:rPr>
        <w:t>”</w:t>
      </w:r>
      <w:r w:rsidR="00C52773">
        <w:rPr>
          <w:sz w:val="22"/>
          <w:szCs w:val="22"/>
        </w:rPr>
        <w:t xml:space="preserve"> of a prohibited exempted dog </w:t>
      </w:r>
      <w:r w:rsidR="00F03307">
        <w:rPr>
          <w:sz w:val="22"/>
          <w:szCs w:val="22"/>
        </w:rPr>
        <w:t xml:space="preserve">like Stella </w:t>
      </w:r>
      <w:r>
        <w:rPr>
          <w:sz w:val="22"/>
          <w:szCs w:val="22"/>
        </w:rPr>
        <w:t>is</w:t>
      </w:r>
      <w:r w:rsidR="00C52773">
        <w:rPr>
          <w:sz w:val="22"/>
          <w:szCs w:val="22"/>
        </w:rPr>
        <w:t xml:space="preserve"> </w:t>
      </w:r>
      <w:r w:rsidR="00F03307">
        <w:rPr>
          <w:sz w:val="22"/>
          <w:szCs w:val="22"/>
        </w:rPr>
        <w:t xml:space="preserve">by Court Order </w:t>
      </w:r>
      <w:r w:rsidR="00C52773">
        <w:rPr>
          <w:sz w:val="22"/>
          <w:szCs w:val="22"/>
        </w:rPr>
        <w:t xml:space="preserve">under Part </w:t>
      </w:r>
      <w:r>
        <w:rPr>
          <w:sz w:val="22"/>
          <w:szCs w:val="22"/>
        </w:rPr>
        <w:t>3 of the</w:t>
      </w:r>
      <w:r w:rsidR="00A94045">
        <w:rPr>
          <w:sz w:val="22"/>
          <w:szCs w:val="22"/>
        </w:rPr>
        <w:t xml:space="preserve"> 2015 Order</w:t>
      </w:r>
      <w:r>
        <w:rPr>
          <w:sz w:val="22"/>
          <w:szCs w:val="22"/>
        </w:rPr>
        <w:t xml:space="preserve">.  This </w:t>
      </w:r>
      <w:r w:rsidR="00C54071">
        <w:rPr>
          <w:sz w:val="22"/>
          <w:szCs w:val="22"/>
        </w:rPr>
        <w:t xml:space="preserve">permits </w:t>
      </w:r>
      <w:r>
        <w:rPr>
          <w:sz w:val="22"/>
          <w:szCs w:val="22"/>
        </w:rPr>
        <w:t xml:space="preserve">someone other than the person to whom a Certificate of Exemption was issued </w:t>
      </w:r>
      <w:r w:rsidR="00F03307">
        <w:rPr>
          <w:sz w:val="22"/>
          <w:szCs w:val="22"/>
        </w:rPr>
        <w:t xml:space="preserve">by the Index </w:t>
      </w:r>
      <w:r>
        <w:rPr>
          <w:sz w:val="22"/>
          <w:szCs w:val="22"/>
        </w:rPr>
        <w:t xml:space="preserve">to </w:t>
      </w:r>
      <w:r w:rsidR="00F03307">
        <w:rPr>
          <w:sz w:val="22"/>
          <w:szCs w:val="22"/>
        </w:rPr>
        <w:t xml:space="preserve">apply to </w:t>
      </w:r>
      <w:r>
        <w:rPr>
          <w:sz w:val="22"/>
          <w:szCs w:val="22"/>
        </w:rPr>
        <w:t xml:space="preserve">be substituted in the limited circumstances of either the death or serious illness of the original person named on the Certificate.  If the procedure in </w:t>
      </w:r>
      <w:r w:rsidR="00175855">
        <w:rPr>
          <w:sz w:val="22"/>
          <w:szCs w:val="22"/>
        </w:rPr>
        <w:t>P</w:t>
      </w:r>
      <w:r>
        <w:rPr>
          <w:sz w:val="22"/>
          <w:szCs w:val="22"/>
        </w:rPr>
        <w:t xml:space="preserve">art </w:t>
      </w:r>
      <w:r w:rsidR="00175855">
        <w:rPr>
          <w:sz w:val="22"/>
          <w:szCs w:val="22"/>
        </w:rPr>
        <w:t xml:space="preserve">3 </w:t>
      </w:r>
      <w:r>
        <w:rPr>
          <w:sz w:val="22"/>
          <w:szCs w:val="22"/>
        </w:rPr>
        <w:t>is followed</w:t>
      </w:r>
      <w:r w:rsidR="00B97D29">
        <w:rPr>
          <w:sz w:val="22"/>
          <w:szCs w:val="22"/>
        </w:rPr>
        <w:t>,</w:t>
      </w:r>
      <w:r>
        <w:rPr>
          <w:sz w:val="22"/>
          <w:szCs w:val="22"/>
        </w:rPr>
        <w:t xml:space="preserve"> the new person taking charge of the dog and </w:t>
      </w:r>
      <w:r>
        <w:rPr>
          <w:sz w:val="22"/>
          <w:szCs w:val="22"/>
        </w:rPr>
        <w:lastRenderedPageBreak/>
        <w:t xml:space="preserve">the original person in charge of the dog will not be in breach of the </w:t>
      </w:r>
      <w:r w:rsidR="00F03307">
        <w:rPr>
          <w:sz w:val="22"/>
          <w:szCs w:val="22"/>
        </w:rPr>
        <w:t>E</w:t>
      </w:r>
      <w:r>
        <w:rPr>
          <w:sz w:val="22"/>
          <w:szCs w:val="22"/>
        </w:rPr>
        <w:t xml:space="preserve">xemption </w:t>
      </w:r>
      <w:r w:rsidR="00F03307">
        <w:rPr>
          <w:sz w:val="22"/>
          <w:szCs w:val="22"/>
        </w:rPr>
        <w:t>S</w:t>
      </w:r>
      <w:r>
        <w:rPr>
          <w:sz w:val="22"/>
          <w:szCs w:val="22"/>
        </w:rPr>
        <w:t xml:space="preserve">cheme thereby risking </w:t>
      </w:r>
      <w:r w:rsidR="00F03307">
        <w:rPr>
          <w:sz w:val="22"/>
          <w:szCs w:val="22"/>
        </w:rPr>
        <w:t xml:space="preserve">criminal liability </w:t>
      </w:r>
      <w:r>
        <w:rPr>
          <w:sz w:val="22"/>
          <w:szCs w:val="22"/>
        </w:rPr>
        <w:t>for having possession of a non-exempt prohibited dog.</w:t>
      </w:r>
      <w:bookmarkEnd w:id="1"/>
      <w:r>
        <w:rPr>
          <w:sz w:val="22"/>
          <w:szCs w:val="22"/>
        </w:rPr>
        <w:t xml:space="preserve"> </w:t>
      </w:r>
    </w:p>
    <w:p w:rsidR="008F1F40" w:rsidRPr="008F1F40" w:rsidRDefault="008F1F40" w:rsidP="00F027B2">
      <w:pPr>
        <w:rPr>
          <w:b/>
          <w:i/>
          <w:sz w:val="22"/>
          <w:szCs w:val="22"/>
        </w:rPr>
      </w:pPr>
      <w:r w:rsidRPr="008F1F40">
        <w:rPr>
          <w:b/>
          <w:i/>
          <w:sz w:val="22"/>
          <w:szCs w:val="22"/>
        </w:rPr>
        <w:t xml:space="preserve">Legislation – transfer of “keepership” of non-exempted </w:t>
      </w:r>
      <w:r w:rsidR="00162E32">
        <w:rPr>
          <w:b/>
          <w:i/>
          <w:sz w:val="22"/>
          <w:szCs w:val="22"/>
        </w:rPr>
        <w:t xml:space="preserve">prohibited </w:t>
      </w:r>
      <w:r w:rsidRPr="008F1F40">
        <w:rPr>
          <w:b/>
          <w:i/>
          <w:sz w:val="22"/>
          <w:szCs w:val="22"/>
        </w:rPr>
        <w:t>dogs</w:t>
      </w:r>
    </w:p>
    <w:p w:rsidR="008F1F40" w:rsidRDefault="008F1F40" w:rsidP="00F027B2">
      <w:pPr>
        <w:numPr>
          <w:ilvl w:val="0"/>
          <w:numId w:val="13"/>
        </w:numPr>
        <w:spacing w:after="100" w:afterAutospacing="1"/>
        <w:ind w:left="426"/>
        <w:rPr>
          <w:sz w:val="22"/>
          <w:szCs w:val="22"/>
        </w:rPr>
      </w:pPr>
      <w:r>
        <w:rPr>
          <w:sz w:val="22"/>
          <w:szCs w:val="22"/>
        </w:rPr>
        <w:t xml:space="preserve">In the case of a dog that was previously exempted but has subsequently been found in breach of the conditions of exemption, or has never been exempted, section 4, section 4A or section 4B of the </w:t>
      </w:r>
      <w:r w:rsidR="00A94045">
        <w:rPr>
          <w:sz w:val="22"/>
          <w:szCs w:val="22"/>
        </w:rPr>
        <w:t xml:space="preserve">DDA </w:t>
      </w:r>
      <w:r>
        <w:rPr>
          <w:sz w:val="22"/>
          <w:szCs w:val="22"/>
        </w:rPr>
        <w:t xml:space="preserve">will apply.  </w:t>
      </w:r>
    </w:p>
    <w:p w:rsidR="008F1F40" w:rsidRPr="008F1F40" w:rsidRDefault="002B239D" w:rsidP="00F027B2">
      <w:pPr>
        <w:numPr>
          <w:ilvl w:val="0"/>
          <w:numId w:val="13"/>
        </w:numPr>
        <w:spacing w:after="100" w:afterAutospacing="1"/>
        <w:ind w:left="426"/>
        <w:rPr>
          <w:i/>
          <w:sz w:val="22"/>
          <w:szCs w:val="22"/>
        </w:rPr>
      </w:pPr>
      <w:bookmarkStart w:id="2" w:name="_Ref457570243"/>
      <w:r>
        <w:rPr>
          <w:sz w:val="22"/>
          <w:szCs w:val="22"/>
        </w:rPr>
        <w:t xml:space="preserve">Article 5(b) of the 2015 Order makes clear that if the additional conditions set out in article 10 of the Order are not complied with the dog is no longer exempt from the prohibition on possession. Accordingly, </w:t>
      </w:r>
      <w:r w:rsidR="008F1F40">
        <w:rPr>
          <w:sz w:val="22"/>
          <w:szCs w:val="22"/>
        </w:rPr>
        <w:t xml:space="preserve">Part 3 of the 2015 Order </w:t>
      </w:r>
      <w:r w:rsidR="00C54071">
        <w:rPr>
          <w:sz w:val="22"/>
          <w:szCs w:val="22"/>
        </w:rPr>
        <w:t>(“</w:t>
      </w:r>
      <w:r w:rsidR="00990DFD">
        <w:rPr>
          <w:sz w:val="22"/>
          <w:szCs w:val="22"/>
        </w:rPr>
        <w:t>Substitution of Person in Charge of Dog Exempted under Part 2</w:t>
      </w:r>
      <w:r w:rsidR="00C54071">
        <w:rPr>
          <w:sz w:val="22"/>
          <w:szCs w:val="22"/>
        </w:rPr>
        <w:t xml:space="preserve">”) </w:t>
      </w:r>
      <w:r w:rsidR="008F1F40">
        <w:rPr>
          <w:sz w:val="22"/>
          <w:szCs w:val="22"/>
        </w:rPr>
        <w:t>will not apply because the dog is no longer exempt and therefore must be treated as a prohibited dog</w:t>
      </w:r>
      <w:r w:rsidR="003713B9">
        <w:rPr>
          <w:sz w:val="22"/>
          <w:szCs w:val="22"/>
        </w:rPr>
        <w:t xml:space="preserve"> again. Consequently the dog must</w:t>
      </w:r>
      <w:r w:rsidR="008F1F40">
        <w:rPr>
          <w:sz w:val="22"/>
          <w:szCs w:val="22"/>
        </w:rPr>
        <w:t xml:space="preserve"> go through the DDA process again whether by way of prosecution of the individual(s) involved or by way of a civil complaint for destruction or a CDO </w:t>
      </w:r>
      <w:r w:rsidR="003713B9">
        <w:rPr>
          <w:sz w:val="22"/>
          <w:szCs w:val="22"/>
        </w:rPr>
        <w:t>under section 4B of the DDA</w:t>
      </w:r>
      <w:r w:rsidR="008F1F40">
        <w:rPr>
          <w:sz w:val="22"/>
          <w:szCs w:val="22"/>
        </w:rPr>
        <w:t>.</w:t>
      </w:r>
      <w:bookmarkEnd w:id="2"/>
      <w:r w:rsidR="008F1F40">
        <w:rPr>
          <w:sz w:val="22"/>
          <w:szCs w:val="22"/>
        </w:rPr>
        <w:t xml:space="preserve"> </w:t>
      </w:r>
    </w:p>
    <w:p w:rsidR="003713B9" w:rsidRDefault="00175855" w:rsidP="00F027B2">
      <w:pPr>
        <w:numPr>
          <w:ilvl w:val="0"/>
          <w:numId w:val="13"/>
        </w:numPr>
        <w:spacing w:after="100" w:afterAutospacing="1"/>
        <w:ind w:left="426"/>
        <w:rPr>
          <w:sz w:val="22"/>
          <w:szCs w:val="22"/>
        </w:rPr>
      </w:pPr>
      <w:bookmarkStart w:id="3" w:name="_Ref457575036"/>
      <w:r>
        <w:rPr>
          <w:sz w:val="22"/>
          <w:szCs w:val="22"/>
        </w:rPr>
        <w:t>S</w:t>
      </w:r>
      <w:r w:rsidR="008F1F40">
        <w:rPr>
          <w:sz w:val="22"/>
          <w:szCs w:val="22"/>
        </w:rPr>
        <w:t>ection</w:t>
      </w:r>
      <w:r w:rsidR="003713B9">
        <w:rPr>
          <w:sz w:val="22"/>
          <w:szCs w:val="22"/>
        </w:rPr>
        <w:t xml:space="preserve"> 4 of the DDA makes clear that the court, when determining whether a dog is a danger to public safety, must consider both the temperament of the dog and:</w:t>
      </w:r>
      <w:bookmarkEnd w:id="3"/>
    </w:p>
    <w:p w:rsidR="008F1F40" w:rsidRDefault="003713B9" w:rsidP="00F027B2">
      <w:pPr>
        <w:autoSpaceDE w:val="0"/>
        <w:autoSpaceDN w:val="0"/>
        <w:adjustRightInd w:val="0"/>
        <w:spacing w:after="100" w:afterAutospacing="1" w:line="0" w:lineRule="atLeast"/>
        <w:ind w:left="720"/>
        <w:rPr>
          <w:sz w:val="22"/>
          <w:szCs w:val="22"/>
        </w:rPr>
      </w:pPr>
      <w:r>
        <w:rPr>
          <w:rFonts w:ascii="Times New Roman" w:hAnsi="Times New Roman"/>
          <w:lang w:eastAsia="en-GB"/>
        </w:rPr>
        <w:t xml:space="preserve">“whether the </w:t>
      </w:r>
      <w:r w:rsidRPr="003713B9">
        <w:rPr>
          <w:rFonts w:ascii="Times New Roman" w:hAnsi="Times New Roman"/>
          <w:u w:val="single"/>
          <w:lang w:eastAsia="en-GB"/>
        </w:rPr>
        <w:t>owner of the dog</w:t>
      </w:r>
      <w:r>
        <w:rPr>
          <w:rFonts w:ascii="Times New Roman" w:hAnsi="Times New Roman"/>
          <w:lang w:eastAsia="en-GB"/>
        </w:rPr>
        <w:t xml:space="preserve">, </w:t>
      </w:r>
      <w:r w:rsidRPr="003713B9">
        <w:rPr>
          <w:rFonts w:ascii="Times New Roman" w:hAnsi="Times New Roman"/>
          <w:u w:val="single"/>
          <w:lang w:eastAsia="en-GB"/>
        </w:rPr>
        <w:t>or the person for the time being in charge of it</w:t>
      </w:r>
      <w:r>
        <w:rPr>
          <w:rFonts w:ascii="Times New Roman" w:hAnsi="Times New Roman"/>
          <w:lang w:eastAsia="en-GB"/>
        </w:rPr>
        <w:t>, is a fit and proper person to be in charge of the dog”</w:t>
      </w:r>
      <w:r>
        <w:rPr>
          <w:sz w:val="22"/>
          <w:szCs w:val="22"/>
        </w:rPr>
        <w:t xml:space="preserve"> (emphasis added) </w:t>
      </w:r>
      <w:r w:rsidR="00175855">
        <w:rPr>
          <w:sz w:val="22"/>
          <w:szCs w:val="22"/>
        </w:rPr>
        <w:t>(</w:t>
      </w:r>
      <w:r>
        <w:rPr>
          <w:sz w:val="22"/>
          <w:szCs w:val="22"/>
        </w:rPr>
        <w:t>section 4(1B)(a)(ii) DDA</w:t>
      </w:r>
      <w:r w:rsidR="003175E5">
        <w:rPr>
          <w:sz w:val="22"/>
          <w:szCs w:val="22"/>
        </w:rPr>
        <w:t xml:space="preserve"> and mirrored in section 4B(2</w:t>
      </w:r>
      <w:r w:rsidR="00175855">
        <w:rPr>
          <w:sz w:val="22"/>
          <w:szCs w:val="22"/>
        </w:rPr>
        <w:t>)).</w:t>
      </w:r>
    </w:p>
    <w:p w:rsidR="004A4042" w:rsidRPr="004A4042" w:rsidRDefault="003C1E84" w:rsidP="00F027B2">
      <w:pPr>
        <w:numPr>
          <w:ilvl w:val="0"/>
          <w:numId w:val="13"/>
        </w:numPr>
        <w:autoSpaceDE w:val="0"/>
        <w:autoSpaceDN w:val="0"/>
        <w:adjustRightInd w:val="0"/>
        <w:spacing w:after="100" w:afterAutospacing="1"/>
        <w:ind w:left="426"/>
        <w:rPr>
          <w:sz w:val="22"/>
          <w:szCs w:val="22"/>
        </w:rPr>
      </w:pPr>
      <w:r>
        <w:rPr>
          <w:rFonts w:cs="Arial"/>
          <w:color w:val="000000"/>
          <w:sz w:val="22"/>
        </w:rPr>
        <w:t>Section 1(2)(b)</w:t>
      </w:r>
      <w:r w:rsidR="006E763A">
        <w:rPr>
          <w:rFonts w:cs="Arial"/>
          <w:color w:val="000000"/>
          <w:sz w:val="22"/>
        </w:rPr>
        <w:t>,</w:t>
      </w:r>
      <w:r>
        <w:rPr>
          <w:rFonts w:cs="Arial"/>
          <w:color w:val="000000"/>
          <w:sz w:val="22"/>
        </w:rPr>
        <w:t xml:space="preserve"> (c) </w:t>
      </w:r>
      <w:r w:rsidR="006E763A">
        <w:rPr>
          <w:rFonts w:cs="Arial"/>
          <w:color w:val="000000"/>
          <w:sz w:val="22"/>
        </w:rPr>
        <w:t xml:space="preserve">and (e) </w:t>
      </w:r>
      <w:r>
        <w:rPr>
          <w:rFonts w:cs="Arial"/>
          <w:color w:val="000000"/>
          <w:sz w:val="22"/>
        </w:rPr>
        <w:t>of the DDA</w:t>
      </w:r>
      <w:r>
        <w:rPr>
          <w:sz w:val="22"/>
          <w:szCs w:val="22"/>
        </w:rPr>
        <w:t xml:space="preserve"> make it </w:t>
      </w:r>
      <w:r w:rsidR="003175E5">
        <w:rPr>
          <w:sz w:val="22"/>
          <w:szCs w:val="22"/>
        </w:rPr>
        <w:t xml:space="preserve">unlawful for a person to sell, exchange or gift or make an offer of a gift </w:t>
      </w:r>
      <w:r>
        <w:rPr>
          <w:sz w:val="22"/>
          <w:szCs w:val="22"/>
        </w:rPr>
        <w:t>or</w:t>
      </w:r>
      <w:r w:rsidR="006E763A">
        <w:rPr>
          <w:sz w:val="22"/>
          <w:szCs w:val="22"/>
        </w:rPr>
        <w:t xml:space="preserve"> for the owner to</w:t>
      </w:r>
      <w:r>
        <w:rPr>
          <w:sz w:val="22"/>
          <w:szCs w:val="22"/>
        </w:rPr>
        <w:t xml:space="preserve"> abandon </w:t>
      </w:r>
      <w:r w:rsidR="003175E5">
        <w:rPr>
          <w:sz w:val="22"/>
          <w:szCs w:val="22"/>
        </w:rPr>
        <w:t>a prohibited type dog</w:t>
      </w:r>
      <w:r w:rsidR="006E763A">
        <w:rPr>
          <w:sz w:val="22"/>
          <w:szCs w:val="22"/>
        </w:rPr>
        <w:t>.</w:t>
      </w:r>
      <w:r>
        <w:rPr>
          <w:sz w:val="22"/>
          <w:szCs w:val="22"/>
        </w:rPr>
        <w:t xml:space="preserve"> </w:t>
      </w:r>
      <w:r w:rsidR="006E763A">
        <w:rPr>
          <w:sz w:val="22"/>
          <w:szCs w:val="22"/>
        </w:rPr>
        <w:t>T</w:t>
      </w:r>
      <w:r w:rsidR="003175E5">
        <w:rPr>
          <w:sz w:val="22"/>
          <w:szCs w:val="22"/>
        </w:rPr>
        <w:t xml:space="preserve">he wording of the </w:t>
      </w:r>
      <w:r>
        <w:rPr>
          <w:sz w:val="22"/>
          <w:szCs w:val="22"/>
        </w:rPr>
        <w:t xml:space="preserve">“no </w:t>
      </w:r>
      <w:r w:rsidR="003175E5">
        <w:rPr>
          <w:sz w:val="22"/>
          <w:szCs w:val="22"/>
        </w:rPr>
        <w:t>danger to public safety test</w:t>
      </w:r>
      <w:r>
        <w:rPr>
          <w:sz w:val="22"/>
          <w:szCs w:val="22"/>
        </w:rPr>
        <w:t>”</w:t>
      </w:r>
      <w:r w:rsidR="003713B9">
        <w:rPr>
          <w:sz w:val="22"/>
          <w:szCs w:val="22"/>
        </w:rPr>
        <w:t xml:space="preserve"> </w:t>
      </w:r>
      <w:r w:rsidR="006E763A">
        <w:rPr>
          <w:sz w:val="22"/>
          <w:szCs w:val="22"/>
        </w:rPr>
        <w:t xml:space="preserve">in section 4(1B) of the DDA </w:t>
      </w:r>
      <w:r w:rsidR="003713B9">
        <w:rPr>
          <w:sz w:val="22"/>
          <w:szCs w:val="22"/>
        </w:rPr>
        <w:t xml:space="preserve">clearly provides the court </w:t>
      </w:r>
      <w:r>
        <w:rPr>
          <w:sz w:val="22"/>
          <w:szCs w:val="22"/>
        </w:rPr>
        <w:t xml:space="preserve">has </w:t>
      </w:r>
      <w:r w:rsidR="003713B9">
        <w:rPr>
          <w:sz w:val="22"/>
          <w:szCs w:val="22"/>
        </w:rPr>
        <w:t xml:space="preserve">the power to consider someone other than the owner of </w:t>
      </w:r>
      <w:r w:rsidR="003175E5">
        <w:rPr>
          <w:sz w:val="22"/>
          <w:szCs w:val="22"/>
        </w:rPr>
        <w:t>the dog for the purposes of the “fit and proper person”</w:t>
      </w:r>
      <w:r w:rsidR="003713B9">
        <w:rPr>
          <w:sz w:val="22"/>
          <w:szCs w:val="22"/>
        </w:rPr>
        <w:t xml:space="preserve"> test</w:t>
      </w:r>
      <w:r w:rsidR="003175E5">
        <w:rPr>
          <w:sz w:val="22"/>
          <w:szCs w:val="22"/>
        </w:rPr>
        <w:t xml:space="preserve">.  </w:t>
      </w:r>
    </w:p>
    <w:p w:rsidR="00207A51" w:rsidRDefault="003175E5" w:rsidP="00F027B2">
      <w:pPr>
        <w:pStyle w:val="NoSpacing"/>
        <w:numPr>
          <w:ilvl w:val="0"/>
          <w:numId w:val="13"/>
        </w:numPr>
        <w:spacing w:before="240" w:after="100" w:afterAutospacing="1" w:line="276" w:lineRule="auto"/>
        <w:ind w:left="426"/>
        <w:rPr>
          <w:rFonts w:ascii="Arial" w:hAnsi="Arial" w:cs="Arial"/>
          <w:color w:val="000000"/>
          <w:sz w:val="22"/>
        </w:rPr>
      </w:pPr>
      <w:r w:rsidRPr="003C1E84">
        <w:rPr>
          <w:rFonts w:ascii="Arial" w:hAnsi="Arial" w:cs="Arial"/>
          <w:color w:val="000000"/>
          <w:sz w:val="22"/>
        </w:rPr>
        <w:t>Defra would expect</w:t>
      </w:r>
      <w:r w:rsidR="003713B9" w:rsidRPr="003C1E84">
        <w:rPr>
          <w:rFonts w:ascii="Arial" w:hAnsi="Arial" w:cs="Arial"/>
          <w:color w:val="000000"/>
          <w:sz w:val="22"/>
        </w:rPr>
        <w:t xml:space="preserve"> that in most cases the person who will be applying for a CDO in respect of a prohibited dog will be the person who owns it however there may be</w:t>
      </w:r>
      <w:r w:rsidR="00800989">
        <w:rPr>
          <w:rFonts w:ascii="Arial" w:hAnsi="Arial" w:cs="Arial"/>
          <w:color w:val="000000"/>
          <w:sz w:val="22"/>
        </w:rPr>
        <w:t xml:space="preserve"> limited</w:t>
      </w:r>
      <w:r w:rsidR="003713B9" w:rsidRPr="003C1E84">
        <w:rPr>
          <w:rFonts w:ascii="Arial" w:hAnsi="Arial" w:cs="Arial"/>
          <w:color w:val="000000"/>
          <w:sz w:val="22"/>
        </w:rPr>
        <w:t xml:space="preserve"> cases where it is not the person who owns the prohibited dog who applies. </w:t>
      </w:r>
    </w:p>
    <w:p w:rsidR="003713B9" w:rsidRDefault="003713B9" w:rsidP="00F027B2">
      <w:pPr>
        <w:pStyle w:val="NoSpacing"/>
        <w:numPr>
          <w:ilvl w:val="0"/>
          <w:numId w:val="13"/>
        </w:numPr>
        <w:spacing w:before="240" w:after="100" w:afterAutospacing="1" w:line="276" w:lineRule="auto"/>
        <w:ind w:left="426"/>
        <w:rPr>
          <w:rFonts w:ascii="Arial" w:hAnsi="Arial" w:cs="Arial"/>
          <w:color w:val="000000"/>
          <w:sz w:val="22"/>
        </w:rPr>
      </w:pPr>
      <w:r w:rsidRPr="003713B9">
        <w:rPr>
          <w:rFonts w:ascii="Arial" w:hAnsi="Arial" w:cs="Arial"/>
          <w:color w:val="000000"/>
          <w:sz w:val="22"/>
        </w:rPr>
        <w:t xml:space="preserve">In such cases the person applying to the court for a </w:t>
      </w:r>
      <w:r w:rsidR="003175E5">
        <w:rPr>
          <w:rFonts w:ascii="Arial" w:hAnsi="Arial" w:cs="Arial"/>
          <w:color w:val="000000"/>
          <w:sz w:val="22"/>
        </w:rPr>
        <w:t>CDO</w:t>
      </w:r>
      <w:r w:rsidRPr="003713B9">
        <w:rPr>
          <w:rFonts w:ascii="Arial" w:hAnsi="Arial" w:cs="Arial"/>
          <w:color w:val="000000"/>
          <w:sz w:val="22"/>
        </w:rPr>
        <w:t xml:space="preserve"> in respect of a prohibited dog must be able to demonstrate that they are in fact “for the time being in charge of the dog”. Th</w:t>
      </w:r>
      <w:r w:rsidR="00175855">
        <w:rPr>
          <w:rFonts w:ascii="Arial" w:hAnsi="Arial" w:cs="Arial"/>
          <w:color w:val="000000"/>
          <w:sz w:val="22"/>
        </w:rPr>
        <w:t xml:space="preserve">is could not apply to </w:t>
      </w:r>
      <w:r w:rsidRPr="003713B9">
        <w:rPr>
          <w:rFonts w:ascii="Arial" w:hAnsi="Arial" w:cs="Arial"/>
          <w:color w:val="000000"/>
          <w:sz w:val="22"/>
        </w:rPr>
        <w:t>a person who has never been in charge of the prohibited dog</w:t>
      </w:r>
      <w:r w:rsidR="00B81FCB">
        <w:rPr>
          <w:rFonts w:ascii="Arial" w:hAnsi="Arial" w:cs="Arial"/>
          <w:color w:val="000000"/>
          <w:sz w:val="22"/>
        </w:rPr>
        <w:t xml:space="preserve"> </w:t>
      </w:r>
      <w:r w:rsidR="003175E5">
        <w:rPr>
          <w:rFonts w:ascii="Arial" w:hAnsi="Arial" w:cs="Arial"/>
          <w:color w:val="000000"/>
          <w:sz w:val="22"/>
        </w:rPr>
        <w:t xml:space="preserve">before the </w:t>
      </w:r>
      <w:r w:rsidR="00C54071">
        <w:rPr>
          <w:rFonts w:ascii="Arial" w:hAnsi="Arial" w:cs="Arial"/>
          <w:color w:val="000000"/>
          <w:sz w:val="22"/>
        </w:rPr>
        <w:t xml:space="preserve">time </w:t>
      </w:r>
      <w:r w:rsidR="003175E5">
        <w:rPr>
          <w:rFonts w:ascii="Arial" w:hAnsi="Arial" w:cs="Arial"/>
          <w:color w:val="000000"/>
          <w:sz w:val="22"/>
        </w:rPr>
        <w:t xml:space="preserve">the </w:t>
      </w:r>
      <w:r w:rsidR="00AE2E2F">
        <w:rPr>
          <w:rFonts w:ascii="Arial" w:hAnsi="Arial" w:cs="Arial"/>
          <w:color w:val="000000"/>
          <w:sz w:val="22"/>
        </w:rPr>
        <w:t>C</w:t>
      </w:r>
      <w:r w:rsidR="003175E5">
        <w:rPr>
          <w:rFonts w:ascii="Arial" w:hAnsi="Arial" w:cs="Arial"/>
          <w:color w:val="000000"/>
          <w:sz w:val="22"/>
        </w:rPr>
        <w:t>ourt is considering whether the dog is a danger to public safety</w:t>
      </w:r>
      <w:r w:rsidRPr="003713B9">
        <w:rPr>
          <w:rFonts w:ascii="Arial" w:hAnsi="Arial" w:cs="Arial"/>
          <w:color w:val="000000"/>
          <w:sz w:val="22"/>
        </w:rPr>
        <w:t xml:space="preserve">. Such applications </w:t>
      </w:r>
      <w:r w:rsidR="00AE2E2F">
        <w:rPr>
          <w:rFonts w:ascii="Arial" w:hAnsi="Arial" w:cs="Arial"/>
          <w:color w:val="000000"/>
          <w:sz w:val="22"/>
        </w:rPr>
        <w:t xml:space="preserve">should </w:t>
      </w:r>
      <w:r w:rsidR="00F41195">
        <w:rPr>
          <w:rFonts w:ascii="Arial" w:hAnsi="Arial" w:cs="Arial"/>
          <w:color w:val="000000"/>
          <w:sz w:val="22"/>
        </w:rPr>
        <w:t xml:space="preserve">rarely </w:t>
      </w:r>
      <w:r w:rsidRPr="003713B9">
        <w:rPr>
          <w:rFonts w:ascii="Arial" w:hAnsi="Arial" w:cs="Arial"/>
          <w:color w:val="000000"/>
          <w:sz w:val="22"/>
        </w:rPr>
        <w:t xml:space="preserve">be </w:t>
      </w:r>
      <w:r w:rsidR="00F41195">
        <w:rPr>
          <w:rFonts w:ascii="Arial" w:hAnsi="Arial" w:cs="Arial"/>
          <w:color w:val="000000"/>
          <w:sz w:val="22"/>
        </w:rPr>
        <w:t xml:space="preserve">successful </w:t>
      </w:r>
      <w:r w:rsidRPr="003713B9">
        <w:rPr>
          <w:rFonts w:ascii="Arial" w:hAnsi="Arial" w:cs="Arial"/>
          <w:color w:val="000000"/>
          <w:sz w:val="22"/>
        </w:rPr>
        <w:t xml:space="preserve">given </w:t>
      </w:r>
      <w:r w:rsidR="00F41195">
        <w:rPr>
          <w:rFonts w:ascii="Arial" w:hAnsi="Arial" w:cs="Arial"/>
          <w:color w:val="000000"/>
          <w:sz w:val="22"/>
        </w:rPr>
        <w:t xml:space="preserve">(i) </w:t>
      </w:r>
      <w:r w:rsidR="003C1E84">
        <w:rPr>
          <w:rFonts w:ascii="Arial" w:hAnsi="Arial" w:cs="Arial"/>
          <w:color w:val="000000"/>
          <w:sz w:val="22"/>
        </w:rPr>
        <w:t>the prohibition on</w:t>
      </w:r>
      <w:r w:rsidR="006C6403">
        <w:rPr>
          <w:rFonts w:ascii="Arial" w:hAnsi="Arial" w:cs="Arial"/>
          <w:color w:val="000000"/>
          <w:sz w:val="22"/>
        </w:rPr>
        <w:t xml:space="preserve"> </w:t>
      </w:r>
      <w:r w:rsidRPr="003713B9">
        <w:rPr>
          <w:rFonts w:ascii="Arial" w:hAnsi="Arial" w:cs="Arial"/>
          <w:color w:val="000000"/>
          <w:sz w:val="22"/>
        </w:rPr>
        <w:t>gift</w:t>
      </w:r>
      <w:r w:rsidR="006C6403">
        <w:rPr>
          <w:rFonts w:ascii="Arial" w:hAnsi="Arial" w:cs="Arial"/>
          <w:color w:val="000000"/>
          <w:sz w:val="22"/>
        </w:rPr>
        <w:t>ing</w:t>
      </w:r>
      <w:r w:rsidRPr="003713B9">
        <w:rPr>
          <w:rFonts w:ascii="Arial" w:hAnsi="Arial" w:cs="Arial"/>
          <w:color w:val="000000"/>
          <w:sz w:val="22"/>
        </w:rPr>
        <w:t xml:space="preserve"> a prohibited dog</w:t>
      </w:r>
      <w:r w:rsidR="00990DFD">
        <w:rPr>
          <w:rFonts w:ascii="Arial" w:hAnsi="Arial" w:cs="Arial"/>
          <w:color w:val="000000"/>
          <w:sz w:val="22"/>
        </w:rPr>
        <w:t>; (ii) the restrictions on who may be considered for the “fit and proper person” test;</w:t>
      </w:r>
      <w:r w:rsidRPr="003713B9">
        <w:rPr>
          <w:rFonts w:ascii="Arial" w:hAnsi="Arial" w:cs="Arial"/>
          <w:color w:val="000000"/>
          <w:sz w:val="22"/>
        </w:rPr>
        <w:t xml:space="preserve"> and </w:t>
      </w:r>
      <w:r w:rsidR="00F41195">
        <w:rPr>
          <w:rFonts w:ascii="Arial" w:hAnsi="Arial" w:cs="Arial"/>
          <w:color w:val="000000"/>
          <w:sz w:val="22"/>
        </w:rPr>
        <w:t>(ii</w:t>
      </w:r>
      <w:r w:rsidR="00990DFD">
        <w:rPr>
          <w:rFonts w:ascii="Arial" w:hAnsi="Arial" w:cs="Arial"/>
          <w:color w:val="000000"/>
          <w:sz w:val="22"/>
        </w:rPr>
        <w:t>i</w:t>
      </w:r>
      <w:r w:rsidR="00F41195">
        <w:rPr>
          <w:rFonts w:ascii="Arial" w:hAnsi="Arial" w:cs="Arial"/>
          <w:color w:val="000000"/>
          <w:sz w:val="22"/>
        </w:rPr>
        <w:t xml:space="preserve">) </w:t>
      </w:r>
      <w:r w:rsidR="00717CA0">
        <w:rPr>
          <w:rFonts w:ascii="Arial" w:hAnsi="Arial" w:cs="Arial"/>
          <w:color w:val="000000"/>
          <w:sz w:val="22"/>
        </w:rPr>
        <w:t xml:space="preserve">if successful </w:t>
      </w:r>
      <w:r w:rsidRPr="003713B9">
        <w:rPr>
          <w:rFonts w:ascii="Arial" w:hAnsi="Arial" w:cs="Arial"/>
          <w:color w:val="000000"/>
          <w:sz w:val="22"/>
        </w:rPr>
        <w:t xml:space="preserve">the dog must </w:t>
      </w:r>
      <w:r w:rsidR="00F41195">
        <w:rPr>
          <w:rFonts w:ascii="Arial" w:hAnsi="Arial" w:cs="Arial"/>
          <w:color w:val="000000"/>
          <w:sz w:val="22"/>
        </w:rPr>
        <w:t xml:space="preserve">then </w:t>
      </w:r>
      <w:r w:rsidRPr="003713B9">
        <w:rPr>
          <w:rFonts w:ascii="Arial" w:hAnsi="Arial" w:cs="Arial"/>
          <w:color w:val="000000"/>
          <w:sz w:val="22"/>
        </w:rPr>
        <w:t xml:space="preserve">remain with that person unless they die or become seriously ill.  </w:t>
      </w:r>
    </w:p>
    <w:p w:rsidR="003175E5" w:rsidRPr="00AD33D6" w:rsidRDefault="00B117BD" w:rsidP="00F027B2">
      <w:pPr>
        <w:autoSpaceDE w:val="0"/>
        <w:autoSpaceDN w:val="0"/>
        <w:adjustRightInd w:val="0"/>
        <w:spacing w:line="240" w:lineRule="auto"/>
        <w:rPr>
          <w:sz w:val="22"/>
          <w:szCs w:val="22"/>
        </w:rPr>
      </w:pPr>
      <w:r>
        <w:rPr>
          <w:b/>
          <w:i/>
          <w:sz w:val="22"/>
          <w:szCs w:val="22"/>
        </w:rPr>
        <w:t xml:space="preserve">Application </w:t>
      </w:r>
      <w:r w:rsidR="00AD33D6" w:rsidRPr="00AD33D6">
        <w:rPr>
          <w:b/>
          <w:i/>
          <w:sz w:val="22"/>
          <w:szCs w:val="22"/>
        </w:rPr>
        <w:t xml:space="preserve">of R (Sandhu) v Isleworth Crown Court </w:t>
      </w:r>
      <w:r w:rsidR="003C1E84">
        <w:rPr>
          <w:b/>
          <w:i/>
          <w:sz w:val="22"/>
          <w:szCs w:val="22"/>
        </w:rPr>
        <w:t xml:space="preserve">[2012] </w:t>
      </w:r>
      <w:r w:rsidR="00AD33D6" w:rsidRPr="00AD33D6">
        <w:rPr>
          <w:b/>
          <w:i/>
          <w:sz w:val="22"/>
          <w:szCs w:val="22"/>
        </w:rPr>
        <w:t>post legislative changes</w:t>
      </w:r>
    </w:p>
    <w:p w:rsidR="00AD33D6" w:rsidRDefault="00AD33D6" w:rsidP="00F027B2">
      <w:pPr>
        <w:numPr>
          <w:ilvl w:val="0"/>
          <w:numId w:val="13"/>
        </w:numPr>
        <w:autoSpaceDE w:val="0"/>
        <w:autoSpaceDN w:val="0"/>
        <w:adjustRightInd w:val="0"/>
        <w:spacing w:after="100" w:afterAutospacing="1"/>
        <w:ind w:left="426"/>
        <w:rPr>
          <w:sz w:val="22"/>
          <w:szCs w:val="22"/>
        </w:rPr>
      </w:pPr>
      <w:r>
        <w:rPr>
          <w:sz w:val="22"/>
          <w:szCs w:val="22"/>
        </w:rPr>
        <w:t xml:space="preserve">It has been suggested that the decision of Exeter Crown Court </w:t>
      </w:r>
      <w:r w:rsidR="00990DFD">
        <w:rPr>
          <w:sz w:val="22"/>
          <w:szCs w:val="22"/>
        </w:rPr>
        <w:t xml:space="preserve">and </w:t>
      </w:r>
      <w:r>
        <w:rPr>
          <w:sz w:val="22"/>
          <w:szCs w:val="22"/>
        </w:rPr>
        <w:t xml:space="preserve">on the authority of the Sandhu case </w:t>
      </w:r>
      <w:r w:rsidR="00717CA0">
        <w:rPr>
          <w:sz w:val="22"/>
          <w:szCs w:val="22"/>
        </w:rPr>
        <w:t xml:space="preserve">a Court </w:t>
      </w:r>
      <w:r w:rsidR="00800989">
        <w:rPr>
          <w:sz w:val="22"/>
          <w:szCs w:val="22"/>
        </w:rPr>
        <w:t xml:space="preserve">is permitted </w:t>
      </w:r>
      <w:r w:rsidR="00717CA0">
        <w:rPr>
          <w:sz w:val="22"/>
          <w:szCs w:val="22"/>
        </w:rPr>
        <w:t>to</w:t>
      </w:r>
      <w:r>
        <w:rPr>
          <w:sz w:val="22"/>
          <w:szCs w:val="22"/>
        </w:rPr>
        <w:t xml:space="preserve"> consider anyone for the purposes of </w:t>
      </w:r>
      <w:r w:rsidR="00800989">
        <w:rPr>
          <w:sz w:val="22"/>
          <w:szCs w:val="22"/>
        </w:rPr>
        <w:t xml:space="preserve">being in charge </w:t>
      </w:r>
      <w:r>
        <w:rPr>
          <w:sz w:val="22"/>
          <w:szCs w:val="22"/>
        </w:rPr>
        <w:t xml:space="preserve">of a prohibited dog. </w:t>
      </w:r>
    </w:p>
    <w:p w:rsidR="00B117BD" w:rsidRDefault="00AD33D6" w:rsidP="00F027B2">
      <w:pPr>
        <w:numPr>
          <w:ilvl w:val="0"/>
          <w:numId w:val="13"/>
        </w:numPr>
        <w:autoSpaceDE w:val="0"/>
        <w:autoSpaceDN w:val="0"/>
        <w:adjustRightInd w:val="0"/>
        <w:spacing w:after="100" w:afterAutospacing="1"/>
        <w:ind w:left="426"/>
        <w:rPr>
          <w:sz w:val="22"/>
          <w:szCs w:val="22"/>
        </w:rPr>
      </w:pPr>
      <w:r>
        <w:rPr>
          <w:sz w:val="22"/>
          <w:szCs w:val="22"/>
        </w:rPr>
        <w:t>This is an incorrect application of Sandhu</w:t>
      </w:r>
      <w:r w:rsidR="000F6DEF" w:rsidRPr="000F6DEF">
        <w:rPr>
          <w:sz w:val="22"/>
          <w:szCs w:val="22"/>
        </w:rPr>
        <w:t xml:space="preserve"> </w:t>
      </w:r>
      <w:r w:rsidR="000F6DEF">
        <w:rPr>
          <w:sz w:val="22"/>
          <w:szCs w:val="22"/>
        </w:rPr>
        <w:t>and the Exeter Crown Court case does not have precedent value</w:t>
      </w:r>
      <w:r>
        <w:rPr>
          <w:sz w:val="22"/>
          <w:szCs w:val="22"/>
        </w:rPr>
        <w:t>.</w:t>
      </w:r>
      <w:r w:rsidR="00B117BD">
        <w:rPr>
          <w:sz w:val="22"/>
          <w:szCs w:val="22"/>
        </w:rPr>
        <w:t xml:space="preserve"> The part of the judgment in</w:t>
      </w:r>
      <w:r w:rsidR="000F6DEF">
        <w:rPr>
          <w:sz w:val="22"/>
          <w:szCs w:val="22"/>
        </w:rPr>
        <w:t xml:space="preserve"> Sandhu in</w:t>
      </w:r>
      <w:r w:rsidR="00B117BD">
        <w:rPr>
          <w:sz w:val="22"/>
          <w:szCs w:val="22"/>
        </w:rPr>
        <w:t xml:space="preserve"> respect of another person taking </w:t>
      </w:r>
      <w:r w:rsidR="00800989">
        <w:rPr>
          <w:sz w:val="22"/>
          <w:szCs w:val="22"/>
        </w:rPr>
        <w:t>“</w:t>
      </w:r>
      <w:r w:rsidR="00B117BD">
        <w:rPr>
          <w:sz w:val="22"/>
          <w:szCs w:val="22"/>
        </w:rPr>
        <w:t>keepership</w:t>
      </w:r>
      <w:r w:rsidR="00800989">
        <w:rPr>
          <w:sz w:val="22"/>
          <w:szCs w:val="22"/>
        </w:rPr>
        <w:t>”</w:t>
      </w:r>
      <w:r w:rsidR="00B117BD">
        <w:rPr>
          <w:sz w:val="22"/>
          <w:szCs w:val="22"/>
        </w:rPr>
        <w:t xml:space="preserve"> of the dog in the circumstances was </w:t>
      </w:r>
      <w:r w:rsidR="00B117BD">
        <w:rPr>
          <w:i/>
          <w:sz w:val="22"/>
          <w:szCs w:val="22"/>
        </w:rPr>
        <w:t>obiter</w:t>
      </w:r>
      <w:r w:rsidR="00B117BD">
        <w:rPr>
          <w:sz w:val="22"/>
          <w:szCs w:val="22"/>
        </w:rPr>
        <w:t xml:space="preserve">. </w:t>
      </w:r>
      <w:r w:rsidR="00717CA0">
        <w:rPr>
          <w:sz w:val="22"/>
          <w:szCs w:val="22"/>
        </w:rPr>
        <w:t>Sandhu</w:t>
      </w:r>
      <w:r w:rsidR="00990DFD">
        <w:rPr>
          <w:sz w:val="22"/>
          <w:szCs w:val="22"/>
        </w:rPr>
        <w:t xml:space="preserve"> </w:t>
      </w:r>
      <w:r>
        <w:rPr>
          <w:sz w:val="22"/>
          <w:szCs w:val="22"/>
        </w:rPr>
        <w:t xml:space="preserve">was primarily about whether a court (pre-changes to the DDA) was able to take into account the character of the person intending to be the </w:t>
      </w:r>
      <w:r w:rsidR="002B239D">
        <w:rPr>
          <w:sz w:val="22"/>
          <w:szCs w:val="22"/>
        </w:rPr>
        <w:t xml:space="preserve">person in charge </w:t>
      </w:r>
      <w:r>
        <w:rPr>
          <w:sz w:val="22"/>
          <w:szCs w:val="22"/>
        </w:rPr>
        <w:t xml:space="preserve">of a prohibited dog in addition to the temperament of the dog when determining whether the dog was a danger to public safety. </w:t>
      </w:r>
      <w:r w:rsidR="000F6DEF">
        <w:rPr>
          <w:sz w:val="22"/>
          <w:szCs w:val="22"/>
        </w:rPr>
        <w:t xml:space="preserve"> </w:t>
      </w:r>
      <w:r>
        <w:rPr>
          <w:sz w:val="22"/>
          <w:szCs w:val="22"/>
        </w:rPr>
        <w:t xml:space="preserve">The Administrative </w:t>
      </w:r>
      <w:r>
        <w:rPr>
          <w:sz w:val="22"/>
          <w:szCs w:val="22"/>
        </w:rPr>
        <w:lastRenderedPageBreak/>
        <w:t xml:space="preserve">Court determined that the wording of the DDA as it then was did not permit a </w:t>
      </w:r>
      <w:r w:rsidR="00A520A1">
        <w:rPr>
          <w:sz w:val="22"/>
          <w:szCs w:val="22"/>
        </w:rPr>
        <w:t>C</w:t>
      </w:r>
      <w:r>
        <w:rPr>
          <w:sz w:val="22"/>
          <w:szCs w:val="22"/>
        </w:rPr>
        <w:t xml:space="preserve">ourt to consider the character of a person intending to be in charge of a prohibited dog.  The </w:t>
      </w:r>
      <w:r w:rsidR="009C02EC">
        <w:rPr>
          <w:sz w:val="22"/>
          <w:szCs w:val="22"/>
        </w:rPr>
        <w:t>C</w:t>
      </w:r>
      <w:r>
        <w:rPr>
          <w:sz w:val="22"/>
          <w:szCs w:val="22"/>
        </w:rPr>
        <w:t xml:space="preserve">rown </w:t>
      </w:r>
      <w:r w:rsidR="009C02EC">
        <w:rPr>
          <w:sz w:val="22"/>
          <w:szCs w:val="22"/>
        </w:rPr>
        <w:t>C</w:t>
      </w:r>
      <w:r>
        <w:rPr>
          <w:sz w:val="22"/>
          <w:szCs w:val="22"/>
        </w:rPr>
        <w:t>ourt</w:t>
      </w:r>
      <w:r w:rsidR="000F6DEF">
        <w:rPr>
          <w:sz w:val="22"/>
          <w:szCs w:val="22"/>
        </w:rPr>
        <w:t xml:space="preserve"> in Sandhu’s case</w:t>
      </w:r>
      <w:r>
        <w:rPr>
          <w:sz w:val="22"/>
          <w:szCs w:val="22"/>
        </w:rPr>
        <w:t xml:space="preserve"> had found as a fact that the temperament of the </w:t>
      </w:r>
      <w:r w:rsidR="00F41195">
        <w:rPr>
          <w:sz w:val="22"/>
          <w:szCs w:val="22"/>
        </w:rPr>
        <w:t xml:space="preserve">two </w:t>
      </w:r>
      <w:r w:rsidR="009C02EC">
        <w:rPr>
          <w:sz w:val="22"/>
          <w:szCs w:val="22"/>
        </w:rPr>
        <w:t xml:space="preserve">prohibited </w:t>
      </w:r>
      <w:r>
        <w:rPr>
          <w:sz w:val="22"/>
          <w:szCs w:val="22"/>
        </w:rPr>
        <w:t xml:space="preserve">dogs </w:t>
      </w:r>
      <w:r w:rsidR="009C02EC">
        <w:rPr>
          <w:sz w:val="22"/>
          <w:szCs w:val="22"/>
        </w:rPr>
        <w:t>was such that they did not pose a danger to public safety.  The Administrative Court, in light of its finding on the issue of the character of the person intending to apply for exemption</w:t>
      </w:r>
      <w:r w:rsidR="00CA5F1D">
        <w:rPr>
          <w:sz w:val="22"/>
          <w:szCs w:val="22"/>
        </w:rPr>
        <w:t xml:space="preserve"> and the Crown Court’s finding as to the danger posed by the dogs</w:t>
      </w:r>
      <w:r w:rsidR="009C02EC">
        <w:rPr>
          <w:sz w:val="22"/>
          <w:szCs w:val="22"/>
        </w:rPr>
        <w:t>, accordingly</w:t>
      </w:r>
      <w:r>
        <w:rPr>
          <w:sz w:val="22"/>
          <w:szCs w:val="22"/>
        </w:rPr>
        <w:t xml:space="preserve"> </w:t>
      </w:r>
      <w:r w:rsidR="009C02EC">
        <w:rPr>
          <w:sz w:val="22"/>
          <w:szCs w:val="22"/>
        </w:rPr>
        <w:t xml:space="preserve">concluded that </w:t>
      </w:r>
      <w:r w:rsidR="00F41195">
        <w:rPr>
          <w:sz w:val="22"/>
          <w:szCs w:val="22"/>
        </w:rPr>
        <w:t xml:space="preserve">Isleworth </w:t>
      </w:r>
      <w:r w:rsidR="009C02EC">
        <w:rPr>
          <w:sz w:val="22"/>
          <w:szCs w:val="22"/>
        </w:rPr>
        <w:t xml:space="preserve">Crown Court had been correct in its decision to make the dogs subject to CDOs. The </w:t>
      </w:r>
      <w:r w:rsidR="000F6DEF">
        <w:rPr>
          <w:sz w:val="22"/>
          <w:szCs w:val="22"/>
        </w:rPr>
        <w:t xml:space="preserve">Administrative </w:t>
      </w:r>
      <w:r w:rsidR="009C02EC">
        <w:rPr>
          <w:sz w:val="22"/>
          <w:szCs w:val="22"/>
        </w:rPr>
        <w:t xml:space="preserve">Court went on to add </w:t>
      </w:r>
      <w:r w:rsidR="00F41195">
        <w:rPr>
          <w:sz w:val="22"/>
          <w:szCs w:val="22"/>
        </w:rPr>
        <w:t>– correctly</w:t>
      </w:r>
      <w:r w:rsidR="00990DFD">
        <w:rPr>
          <w:sz w:val="22"/>
          <w:szCs w:val="22"/>
        </w:rPr>
        <w:t xml:space="preserve"> – </w:t>
      </w:r>
      <w:r w:rsidR="009C02EC">
        <w:rPr>
          <w:sz w:val="22"/>
          <w:szCs w:val="22"/>
        </w:rPr>
        <w:t xml:space="preserve">that a court making a CDO in respect of a prohibited dog had no power to add conditions to a CDO.  </w:t>
      </w:r>
    </w:p>
    <w:p w:rsidR="002D19FD" w:rsidRDefault="00FD6603" w:rsidP="00F027B2">
      <w:pPr>
        <w:numPr>
          <w:ilvl w:val="0"/>
          <w:numId w:val="13"/>
        </w:numPr>
        <w:autoSpaceDE w:val="0"/>
        <w:autoSpaceDN w:val="0"/>
        <w:adjustRightInd w:val="0"/>
        <w:spacing w:after="100" w:afterAutospacing="1"/>
        <w:ind w:left="426"/>
        <w:rPr>
          <w:sz w:val="22"/>
          <w:szCs w:val="22"/>
        </w:rPr>
      </w:pPr>
      <w:r>
        <w:rPr>
          <w:sz w:val="22"/>
          <w:szCs w:val="22"/>
        </w:rPr>
        <w:t>Following the Sandhu case</w:t>
      </w:r>
      <w:r w:rsidR="00B117BD">
        <w:rPr>
          <w:sz w:val="22"/>
          <w:szCs w:val="22"/>
        </w:rPr>
        <w:t xml:space="preserve"> the legislation was amended in order to make clear that a person’s character is relevant as to whether a prohibited dog poses a danger to public safety. </w:t>
      </w:r>
      <w:r>
        <w:rPr>
          <w:sz w:val="22"/>
          <w:szCs w:val="22"/>
        </w:rPr>
        <w:t xml:space="preserve"> The consequence</w:t>
      </w:r>
      <w:r w:rsidR="001C1DBC">
        <w:rPr>
          <w:sz w:val="22"/>
          <w:szCs w:val="22"/>
        </w:rPr>
        <w:t xml:space="preserve"> of the amendments include</w:t>
      </w:r>
      <w:r>
        <w:rPr>
          <w:sz w:val="22"/>
          <w:szCs w:val="22"/>
        </w:rPr>
        <w:t xml:space="preserve"> making </w:t>
      </w:r>
      <w:r w:rsidR="001C1DBC">
        <w:rPr>
          <w:sz w:val="22"/>
          <w:szCs w:val="22"/>
        </w:rPr>
        <w:t xml:space="preserve">it </w:t>
      </w:r>
      <w:r>
        <w:rPr>
          <w:sz w:val="22"/>
          <w:szCs w:val="22"/>
        </w:rPr>
        <w:t>clear that the court only has power to consider</w:t>
      </w:r>
      <w:r w:rsidR="001C1DBC">
        <w:rPr>
          <w:sz w:val="22"/>
          <w:szCs w:val="22"/>
        </w:rPr>
        <w:t>,</w:t>
      </w:r>
      <w:r>
        <w:rPr>
          <w:sz w:val="22"/>
          <w:szCs w:val="22"/>
        </w:rPr>
        <w:t xml:space="preserve"> for the purposes of the </w:t>
      </w:r>
      <w:r w:rsidR="00800989">
        <w:rPr>
          <w:sz w:val="22"/>
          <w:szCs w:val="22"/>
        </w:rPr>
        <w:t>“</w:t>
      </w:r>
      <w:r>
        <w:rPr>
          <w:sz w:val="22"/>
          <w:szCs w:val="22"/>
        </w:rPr>
        <w:t xml:space="preserve">fit and proper </w:t>
      </w:r>
      <w:r w:rsidR="00800989">
        <w:rPr>
          <w:sz w:val="22"/>
          <w:szCs w:val="22"/>
        </w:rPr>
        <w:t xml:space="preserve">person” </w:t>
      </w:r>
      <w:r>
        <w:rPr>
          <w:sz w:val="22"/>
          <w:szCs w:val="22"/>
        </w:rPr>
        <w:t>test</w:t>
      </w:r>
      <w:r w:rsidR="001C1DBC">
        <w:rPr>
          <w:sz w:val="22"/>
          <w:szCs w:val="22"/>
        </w:rPr>
        <w:t>,</w:t>
      </w:r>
      <w:r>
        <w:rPr>
          <w:sz w:val="22"/>
          <w:szCs w:val="22"/>
        </w:rPr>
        <w:t xml:space="preserve"> the owner of a </w:t>
      </w:r>
      <w:r w:rsidR="008D5666">
        <w:rPr>
          <w:sz w:val="22"/>
          <w:szCs w:val="22"/>
        </w:rPr>
        <w:t>prohibited dog</w:t>
      </w:r>
      <w:r>
        <w:rPr>
          <w:sz w:val="22"/>
          <w:szCs w:val="22"/>
        </w:rPr>
        <w:t xml:space="preserve"> or a person for the time being in charge of such a dog. </w:t>
      </w:r>
      <w:r w:rsidR="001C1DBC">
        <w:rPr>
          <w:sz w:val="22"/>
          <w:szCs w:val="22"/>
        </w:rPr>
        <w:t xml:space="preserve">  Accordingly Sandhu cannot be used as authority (if it ever could) to allow any person to take “keepership” of a prohibited dog in place of an owner. </w:t>
      </w:r>
    </w:p>
    <w:p w:rsidR="002D19FD" w:rsidRDefault="002D19FD" w:rsidP="00F027B2">
      <w:pPr>
        <w:autoSpaceDE w:val="0"/>
        <w:autoSpaceDN w:val="0"/>
        <w:adjustRightInd w:val="0"/>
        <w:ind w:left="68"/>
        <w:rPr>
          <w:sz w:val="22"/>
          <w:szCs w:val="22"/>
        </w:rPr>
      </w:pPr>
      <w:r w:rsidRPr="00C54071">
        <w:rPr>
          <w:b/>
          <w:i/>
          <w:sz w:val="22"/>
          <w:szCs w:val="22"/>
        </w:rPr>
        <w:t xml:space="preserve">Considerations for the Court </w:t>
      </w:r>
    </w:p>
    <w:p w:rsidR="004707B7" w:rsidRDefault="002D19FD" w:rsidP="00F027B2">
      <w:pPr>
        <w:numPr>
          <w:ilvl w:val="0"/>
          <w:numId w:val="13"/>
        </w:numPr>
        <w:autoSpaceDE w:val="0"/>
        <w:autoSpaceDN w:val="0"/>
        <w:adjustRightInd w:val="0"/>
        <w:spacing w:after="100" w:afterAutospacing="1"/>
        <w:ind w:left="426"/>
        <w:rPr>
          <w:sz w:val="22"/>
          <w:szCs w:val="22"/>
        </w:rPr>
      </w:pPr>
      <w:r w:rsidRPr="00717CA0">
        <w:rPr>
          <w:sz w:val="22"/>
          <w:szCs w:val="22"/>
        </w:rPr>
        <w:t>The Court should only consider someone other than an owner of a prohibited dog for the purposes of the</w:t>
      </w:r>
      <w:r w:rsidRPr="00990DFD">
        <w:rPr>
          <w:sz w:val="22"/>
          <w:szCs w:val="22"/>
        </w:rPr>
        <w:t xml:space="preserve"> fit and proper person test as part of its determination that the dog does not pose a risk to public safety in </w:t>
      </w:r>
      <w:r w:rsidR="006C6403" w:rsidRPr="00990DFD">
        <w:rPr>
          <w:sz w:val="22"/>
          <w:szCs w:val="22"/>
        </w:rPr>
        <w:t>a</w:t>
      </w:r>
      <w:r w:rsidRPr="00990DFD">
        <w:rPr>
          <w:sz w:val="22"/>
          <w:szCs w:val="22"/>
        </w:rPr>
        <w:t xml:space="preserve"> minority of cases given</w:t>
      </w:r>
      <w:r w:rsidR="006C6403" w:rsidRPr="00990DFD">
        <w:rPr>
          <w:sz w:val="22"/>
          <w:szCs w:val="22"/>
        </w:rPr>
        <w:t xml:space="preserve"> the</w:t>
      </w:r>
      <w:r w:rsidRPr="00990DFD">
        <w:rPr>
          <w:sz w:val="22"/>
          <w:szCs w:val="22"/>
        </w:rPr>
        <w:t xml:space="preserve"> restrictions set out in section 4(1B)</w:t>
      </w:r>
      <w:r w:rsidR="00990DFD">
        <w:rPr>
          <w:sz w:val="22"/>
          <w:szCs w:val="22"/>
        </w:rPr>
        <w:t xml:space="preserve"> of the DDA</w:t>
      </w:r>
      <w:r w:rsidR="00717CA0" w:rsidRPr="00990DFD">
        <w:rPr>
          <w:sz w:val="22"/>
          <w:szCs w:val="22"/>
        </w:rPr>
        <w:t xml:space="preserve"> </w:t>
      </w:r>
      <w:r w:rsidR="00CA5F1D">
        <w:rPr>
          <w:sz w:val="22"/>
          <w:szCs w:val="22"/>
        </w:rPr>
        <w:t xml:space="preserve">set out in </w:t>
      </w:r>
      <w:r w:rsidR="00990DFD">
        <w:rPr>
          <w:sz w:val="22"/>
          <w:szCs w:val="22"/>
        </w:rPr>
        <w:t>paragraph</w:t>
      </w:r>
      <w:r w:rsidR="00717CA0" w:rsidRPr="00990DFD">
        <w:rPr>
          <w:sz w:val="22"/>
          <w:szCs w:val="22"/>
        </w:rPr>
        <w:t xml:space="preserve"> </w:t>
      </w:r>
      <w:r w:rsidR="00990DFD">
        <w:rPr>
          <w:sz w:val="22"/>
          <w:szCs w:val="22"/>
        </w:rPr>
        <w:fldChar w:fldCharType="begin"/>
      </w:r>
      <w:r w:rsidR="00990DFD">
        <w:rPr>
          <w:sz w:val="22"/>
          <w:szCs w:val="22"/>
        </w:rPr>
        <w:instrText xml:space="preserve"> REF _Ref457575036 \r \h </w:instrText>
      </w:r>
      <w:r w:rsidR="00990DFD">
        <w:rPr>
          <w:sz w:val="22"/>
          <w:szCs w:val="22"/>
        </w:rPr>
      </w:r>
      <w:r w:rsidR="00990DFD">
        <w:rPr>
          <w:sz w:val="22"/>
          <w:szCs w:val="22"/>
        </w:rPr>
        <w:fldChar w:fldCharType="separate"/>
      </w:r>
      <w:r w:rsidR="00990DFD">
        <w:rPr>
          <w:sz w:val="22"/>
          <w:szCs w:val="22"/>
        </w:rPr>
        <w:t>7</w:t>
      </w:r>
      <w:r w:rsidR="00990DFD">
        <w:rPr>
          <w:sz w:val="22"/>
          <w:szCs w:val="22"/>
        </w:rPr>
        <w:fldChar w:fldCharType="end"/>
      </w:r>
      <w:r w:rsidR="00990DFD">
        <w:rPr>
          <w:sz w:val="22"/>
          <w:szCs w:val="22"/>
        </w:rPr>
        <w:t xml:space="preserve"> </w:t>
      </w:r>
      <w:r w:rsidR="00717CA0" w:rsidRPr="00990DFD">
        <w:rPr>
          <w:sz w:val="22"/>
          <w:szCs w:val="22"/>
        </w:rPr>
        <w:t>above</w:t>
      </w:r>
      <w:r w:rsidRPr="00990DFD">
        <w:rPr>
          <w:sz w:val="22"/>
          <w:szCs w:val="22"/>
        </w:rPr>
        <w:t xml:space="preserve">. </w:t>
      </w:r>
      <w:r w:rsidR="00990DFD">
        <w:rPr>
          <w:sz w:val="22"/>
          <w:szCs w:val="22"/>
        </w:rPr>
        <w:t xml:space="preserve"> </w:t>
      </w:r>
    </w:p>
    <w:p w:rsidR="004707B7" w:rsidRDefault="004707B7" w:rsidP="00F027B2">
      <w:pPr>
        <w:numPr>
          <w:ilvl w:val="0"/>
          <w:numId w:val="13"/>
        </w:numPr>
        <w:autoSpaceDE w:val="0"/>
        <w:autoSpaceDN w:val="0"/>
        <w:adjustRightInd w:val="0"/>
        <w:spacing w:after="100" w:afterAutospacing="1"/>
        <w:ind w:left="426"/>
        <w:rPr>
          <w:sz w:val="22"/>
          <w:szCs w:val="22"/>
        </w:rPr>
      </w:pPr>
      <w:r>
        <w:rPr>
          <w:sz w:val="22"/>
          <w:szCs w:val="22"/>
        </w:rPr>
        <w:t xml:space="preserve">This is reflected in the </w:t>
      </w:r>
      <w:r w:rsidR="002F3571">
        <w:rPr>
          <w:sz w:val="22"/>
          <w:szCs w:val="22"/>
        </w:rPr>
        <w:t xml:space="preserve">Dangerous Dogs </w:t>
      </w:r>
      <w:r>
        <w:rPr>
          <w:sz w:val="22"/>
          <w:szCs w:val="22"/>
        </w:rPr>
        <w:t>Definitive Guideline produced by the Sentencing Council on offences related to prohibited dogs at page 32  under step 6 and the sub-heading “Fit and proper person”.  This Guideline came into effect in relation to sentencing on or after 1st July 2016.</w:t>
      </w:r>
    </w:p>
    <w:p w:rsidR="003175E5" w:rsidRPr="00717CA0" w:rsidRDefault="002D19FD" w:rsidP="00F027B2">
      <w:pPr>
        <w:numPr>
          <w:ilvl w:val="0"/>
          <w:numId w:val="13"/>
        </w:numPr>
        <w:autoSpaceDE w:val="0"/>
        <w:autoSpaceDN w:val="0"/>
        <w:adjustRightInd w:val="0"/>
        <w:spacing w:after="100" w:afterAutospacing="1"/>
        <w:ind w:left="426"/>
        <w:rPr>
          <w:sz w:val="22"/>
          <w:szCs w:val="22"/>
        </w:rPr>
      </w:pPr>
      <w:r w:rsidRPr="00990DFD">
        <w:rPr>
          <w:sz w:val="22"/>
          <w:szCs w:val="22"/>
        </w:rPr>
        <w:t xml:space="preserve">The Court </w:t>
      </w:r>
      <w:r w:rsidR="00717CA0" w:rsidRPr="00990DFD">
        <w:rPr>
          <w:sz w:val="22"/>
          <w:szCs w:val="22"/>
        </w:rPr>
        <w:t xml:space="preserve">should </w:t>
      </w:r>
      <w:r w:rsidRPr="00990DFD">
        <w:rPr>
          <w:sz w:val="22"/>
          <w:szCs w:val="22"/>
        </w:rPr>
        <w:t>be reminded of this fact and</w:t>
      </w:r>
      <w:r w:rsidR="006C6403" w:rsidRPr="00990DFD">
        <w:rPr>
          <w:sz w:val="22"/>
          <w:szCs w:val="22"/>
        </w:rPr>
        <w:t xml:space="preserve"> that a person, other than an owner, proposing to take charge of a prohibited dog </w:t>
      </w:r>
      <w:r w:rsidR="00717CA0" w:rsidRPr="00990DFD">
        <w:rPr>
          <w:sz w:val="22"/>
          <w:szCs w:val="22"/>
        </w:rPr>
        <w:t xml:space="preserve">should </w:t>
      </w:r>
      <w:r w:rsidR="006C6403" w:rsidRPr="00990DFD">
        <w:rPr>
          <w:sz w:val="22"/>
          <w:szCs w:val="22"/>
        </w:rPr>
        <w:t xml:space="preserve">be aware </w:t>
      </w:r>
      <w:r w:rsidRPr="00990DFD">
        <w:rPr>
          <w:sz w:val="22"/>
          <w:szCs w:val="22"/>
        </w:rPr>
        <w:t xml:space="preserve">that the effect of </w:t>
      </w:r>
      <w:r w:rsidR="006C6403" w:rsidRPr="00990DFD">
        <w:rPr>
          <w:sz w:val="22"/>
          <w:szCs w:val="22"/>
        </w:rPr>
        <w:t xml:space="preserve">obtaining a Certificate of Exemption is that dog must remain with that person for the remainder of its life. </w:t>
      </w:r>
      <w:r w:rsidR="00CF6EB2" w:rsidRPr="00990DFD">
        <w:rPr>
          <w:sz w:val="22"/>
          <w:szCs w:val="22"/>
        </w:rPr>
        <w:t xml:space="preserve"> </w:t>
      </w:r>
    </w:p>
    <w:p w:rsidR="004707B7" w:rsidRDefault="004707B7" w:rsidP="003713B9">
      <w:pPr>
        <w:autoSpaceDE w:val="0"/>
        <w:autoSpaceDN w:val="0"/>
        <w:adjustRightInd w:val="0"/>
        <w:spacing w:before="0" w:after="0" w:line="240" w:lineRule="auto"/>
        <w:rPr>
          <w:b/>
          <w:sz w:val="22"/>
          <w:szCs w:val="22"/>
        </w:rPr>
      </w:pPr>
    </w:p>
    <w:p w:rsidR="00966523" w:rsidRDefault="00966523" w:rsidP="003713B9">
      <w:pPr>
        <w:autoSpaceDE w:val="0"/>
        <w:autoSpaceDN w:val="0"/>
        <w:adjustRightInd w:val="0"/>
        <w:spacing w:before="0" w:after="0" w:line="240" w:lineRule="auto"/>
        <w:rPr>
          <w:b/>
          <w:sz w:val="22"/>
          <w:szCs w:val="22"/>
        </w:rPr>
      </w:pPr>
      <w:r>
        <w:rPr>
          <w:b/>
          <w:sz w:val="22"/>
          <w:szCs w:val="22"/>
        </w:rPr>
        <w:t>Defra</w:t>
      </w:r>
    </w:p>
    <w:p w:rsidR="00966523" w:rsidRPr="00966523" w:rsidRDefault="004707B7" w:rsidP="003713B9">
      <w:pPr>
        <w:autoSpaceDE w:val="0"/>
        <w:autoSpaceDN w:val="0"/>
        <w:adjustRightInd w:val="0"/>
        <w:spacing w:before="0" w:after="0" w:line="240" w:lineRule="auto"/>
        <w:rPr>
          <w:b/>
          <w:sz w:val="22"/>
          <w:szCs w:val="22"/>
        </w:rPr>
      </w:pPr>
      <w:r>
        <w:rPr>
          <w:b/>
          <w:sz w:val="22"/>
          <w:szCs w:val="22"/>
        </w:rPr>
        <w:t xml:space="preserve">Sep </w:t>
      </w:r>
      <w:r w:rsidR="00966523">
        <w:rPr>
          <w:b/>
          <w:sz w:val="22"/>
          <w:szCs w:val="22"/>
        </w:rPr>
        <w:t>2016</w:t>
      </w:r>
    </w:p>
    <w:sectPr w:rsidR="00966523" w:rsidRPr="00966523" w:rsidSect="00F027B2">
      <w:pgSz w:w="11906" w:h="16838"/>
      <w:pgMar w:top="272" w:right="1134" w:bottom="1134" w:left="1134" w:header="290"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1B" w:rsidRDefault="00604D1B" w:rsidP="00CB580D">
      <w:pPr>
        <w:spacing w:before="0" w:after="0" w:line="240" w:lineRule="auto"/>
      </w:pPr>
      <w:r>
        <w:separator/>
      </w:r>
    </w:p>
  </w:endnote>
  <w:endnote w:type="continuationSeparator" w:id="0">
    <w:p w:rsidR="00604D1B" w:rsidRDefault="00604D1B" w:rsidP="00CB58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1B" w:rsidRDefault="00604D1B" w:rsidP="00CB580D">
      <w:pPr>
        <w:spacing w:before="0" w:after="0" w:line="240" w:lineRule="auto"/>
      </w:pPr>
      <w:r>
        <w:separator/>
      </w:r>
    </w:p>
  </w:footnote>
  <w:footnote w:type="continuationSeparator" w:id="0">
    <w:p w:rsidR="00604D1B" w:rsidRDefault="00604D1B" w:rsidP="00CB580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8E2DF8A"/>
    <w:lvl w:ilvl="0">
      <w:start w:val="1"/>
      <w:numFmt w:val="decimal"/>
      <w:lvlText w:val="%1."/>
      <w:lvlJc w:val="left"/>
      <w:pPr>
        <w:tabs>
          <w:tab w:val="num" w:pos="1492"/>
        </w:tabs>
        <w:ind w:left="1492" w:hanging="360"/>
      </w:pPr>
    </w:lvl>
  </w:abstractNum>
  <w:abstractNum w:abstractNumId="1">
    <w:nsid w:val="FFFFFF7D"/>
    <w:multiLevelType w:val="singleLevel"/>
    <w:tmpl w:val="A2AE8A3A"/>
    <w:lvl w:ilvl="0">
      <w:start w:val="1"/>
      <w:numFmt w:val="decimal"/>
      <w:lvlText w:val="%1."/>
      <w:lvlJc w:val="left"/>
      <w:pPr>
        <w:tabs>
          <w:tab w:val="num" w:pos="1209"/>
        </w:tabs>
        <w:ind w:left="1209" w:hanging="360"/>
      </w:pPr>
    </w:lvl>
  </w:abstractNum>
  <w:abstractNum w:abstractNumId="2">
    <w:nsid w:val="FFFFFF7E"/>
    <w:multiLevelType w:val="singleLevel"/>
    <w:tmpl w:val="16088B10"/>
    <w:lvl w:ilvl="0">
      <w:start w:val="1"/>
      <w:numFmt w:val="decimal"/>
      <w:lvlText w:val="%1."/>
      <w:lvlJc w:val="left"/>
      <w:pPr>
        <w:tabs>
          <w:tab w:val="num" w:pos="926"/>
        </w:tabs>
        <w:ind w:left="926" w:hanging="360"/>
      </w:pPr>
    </w:lvl>
  </w:abstractNum>
  <w:abstractNum w:abstractNumId="3">
    <w:nsid w:val="FFFFFF7F"/>
    <w:multiLevelType w:val="singleLevel"/>
    <w:tmpl w:val="3AE24C30"/>
    <w:lvl w:ilvl="0">
      <w:start w:val="1"/>
      <w:numFmt w:val="decimal"/>
      <w:lvlText w:val="%1."/>
      <w:lvlJc w:val="left"/>
      <w:pPr>
        <w:tabs>
          <w:tab w:val="num" w:pos="643"/>
        </w:tabs>
        <w:ind w:left="643" w:hanging="360"/>
      </w:pPr>
    </w:lvl>
  </w:abstractNum>
  <w:abstractNum w:abstractNumId="4">
    <w:nsid w:val="FFFFFF80"/>
    <w:multiLevelType w:val="singleLevel"/>
    <w:tmpl w:val="AEFEB5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2AE14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744D60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12427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7E03282"/>
    <w:lvl w:ilvl="0">
      <w:start w:val="1"/>
      <w:numFmt w:val="decimal"/>
      <w:lvlText w:val="%1."/>
      <w:lvlJc w:val="left"/>
      <w:pPr>
        <w:tabs>
          <w:tab w:val="num" w:pos="360"/>
        </w:tabs>
        <w:ind w:left="360" w:hanging="360"/>
      </w:pPr>
    </w:lvl>
  </w:abstractNum>
  <w:abstractNum w:abstractNumId="9">
    <w:nsid w:val="FFFFFF89"/>
    <w:multiLevelType w:val="singleLevel"/>
    <w:tmpl w:val="B1105ED2"/>
    <w:lvl w:ilvl="0">
      <w:start w:val="1"/>
      <w:numFmt w:val="bullet"/>
      <w:lvlText w:val=""/>
      <w:lvlJc w:val="left"/>
      <w:pPr>
        <w:tabs>
          <w:tab w:val="num" w:pos="360"/>
        </w:tabs>
        <w:ind w:left="360" w:hanging="360"/>
      </w:pPr>
      <w:rPr>
        <w:rFonts w:ascii="Symbol" w:hAnsi="Symbol" w:hint="default"/>
      </w:rPr>
    </w:lvl>
  </w:abstractNum>
  <w:abstractNum w:abstractNumId="10">
    <w:nsid w:val="1D2A0DA5"/>
    <w:multiLevelType w:val="hybridMultilevel"/>
    <w:tmpl w:val="6DFA8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56459E"/>
    <w:multiLevelType w:val="hybridMultilevel"/>
    <w:tmpl w:val="476C64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nsid w:val="5A540E99"/>
    <w:multiLevelType w:val="hybridMultilevel"/>
    <w:tmpl w:val="8834A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AD03597"/>
    <w:multiLevelType w:val="hybridMultilevel"/>
    <w:tmpl w:val="4AC0F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A7A1C32"/>
    <w:multiLevelType w:val="hybridMultilevel"/>
    <w:tmpl w:val="BE3CB98A"/>
    <w:lvl w:ilvl="0" w:tplc="76CA8EF0">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12"/>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NotTrackMoves/>
  <w:documentProtection w:edit="readOnly" w:enforcement="1"/>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773"/>
    <w:rsid w:val="0001160F"/>
    <w:rsid w:val="0001576C"/>
    <w:rsid w:val="0006563A"/>
    <w:rsid w:val="000F6DEF"/>
    <w:rsid w:val="00162E32"/>
    <w:rsid w:val="00175855"/>
    <w:rsid w:val="001C0C15"/>
    <w:rsid w:val="001C1DBC"/>
    <w:rsid w:val="001C5D20"/>
    <w:rsid w:val="001F149C"/>
    <w:rsid w:val="00207A51"/>
    <w:rsid w:val="00290655"/>
    <w:rsid w:val="002B239D"/>
    <w:rsid w:val="002D19FD"/>
    <w:rsid w:val="002F3571"/>
    <w:rsid w:val="003175E5"/>
    <w:rsid w:val="003450AC"/>
    <w:rsid w:val="003713B9"/>
    <w:rsid w:val="003A3BB7"/>
    <w:rsid w:val="003C1E84"/>
    <w:rsid w:val="004420B5"/>
    <w:rsid w:val="004707B7"/>
    <w:rsid w:val="004A4042"/>
    <w:rsid w:val="004D0472"/>
    <w:rsid w:val="004E67ED"/>
    <w:rsid w:val="0050228B"/>
    <w:rsid w:val="00536CBB"/>
    <w:rsid w:val="0054423E"/>
    <w:rsid w:val="005546D7"/>
    <w:rsid w:val="005B5A97"/>
    <w:rsid w:val="005F1E99"/>
    <w:rsid w:val="00604D1B"/>
    <w:rsid w:val="0062575B"/>
    <w:rsid w:val="006315C8"/>
    <w:rsid w:val="00696892"/>
    <w:rsid w:val="006C6403"/>
    <w:rsid w:val="006C7955"/>
    <w:rsid w:val="006E763A"/>
    <w:rsid w:val="0070167F"/>
    <w:rsid w:val="0071201F"/>
    <w:rsid w:val="00717CA0"/>
    <w:rsid w:val="00724B96"/>
    <w:rsid w:val="00754B8B"/>
    <w:rsid w:val="007847BF"/>
    <w:rsid w:val="007E0A29"/>
    <w:rsid w:val="008006DB"/>
    <w:rsid w:val="00800989"/>
    <w:rsid w:val="008664F6"/>
    <w:rsid w:val="008D5666"/>
    <w:rsid w:val="008E24F4"/>
    <w:rsid w:val="008F1F40"/>
    <w:rsid w:val="008F4B7E"/>
    <w:rsid w:val="00925EB2"/>
    <w:rsid w:val="00966523"/>
    <w:rsid w:val="00990DFD"/>
    <w:rsid w:val="009C02EC"/>
    <w:rsid w:val="009C0A33"/>
    <w:rsid w:val="009C0C43"/>
    <w:rsid w:val="00A13958"/>
    <w:rsid w:val="00A31266"/>
    <w:rsid w:val="00A520A1"/>
    <w:rsid w:val="00A627E3"/>
    <w:rsid w:val="00A94045"/>
    <w:rsid w:val="00AD33D6"/>
    <w:rsid w:val="00AE2E2F"/>
    <w:rsid w:val="00AE4689"/>
    <w:rsid w:val="00B117BD"/>
    <w:rsid w:val="00B6174A"/>
    <w:rsid w:val="00B81FCB"/>
    <w:rsid w:val="00B83E79"/>
    <w:rsid w:val="00B97D29"/>
    <w:rsid w:val="00C0364E"/>
    <w:rsid w:val="00C13E7B"/>
    <w:rsid w:val="00C52773"/>
    <w:rsid w:val="00C54071"/>
    <w:rsid w:val="00C541E0"/>
    <w:rsid w:val="00CA5AFA"/>
    <w:rsid w:val="00CA5F1D"/>
    <w:rsid w:val="00CB580D"/>
    <w:rsid w:val="00CE687E"/>
    <w:rsid w:val="00CF6EB2"/>
    <w:rsid w:val="00D0794B"/>
    <w:rsid w:val="00D20DE1"/>
    <w:rsid w:val="00D228EF"/>
    <w:rsid w:val="00DA0E6C"/>
    <w:rsid w:val="00DA60C1"/>
    <w:rsid w:val="00E34859"/>
    <w:rsid w:val="00E72622"/>
    <w:rsid w:val="00EB28B8"/>
    <w:rsid w:val="00F027B2"/>
    <w:rsid w:val="00F03307"/>
    <w:rsid w:val="00F33060"/>
    <w:rsid w:val="00F34431"/>
    <w:rsid w:val="00F41195"/>
    <w:rsid w:val="00FD6603"/>
    <w:rsid w:val="00FD67A6"/>
    <w:rsid w:val="00FF7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981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elvetica" w:eastAsia="Calibri" w:hAnsi="Helvetic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13958"/>
    <w:pPr>
      <w:spacing w:before="240" w:after="120" w:line="276" w:lineRule="auto"/>
    </w:pPr>
    <w:rPr>
      <w:rFonts w:ascii="Arial" w:hAnsi="Arial"/>
      <w:sz w:val="24"/>
      <w:szCs w:val="24"/>
      <w:lang w:eastAsia="en-US"/>
    </w:rPr>
  </w:style>
  <w:style w:type="paragraph" w:styleId="Heading1">
    <w:name w:val="heading 1"/>
    <w:basedOn w:val="Normal"/>
    <w:next w:val="Normal"/>
    <w:link w:val="Heading1Char"/>
    <w:uiPriority w:val="9"/>
    <w:qFormat/>
    <w:rsid w:val="00CA5AFA"/>
    <w:pPr>
      <w:keepNext/>
      <w:keepLines/>
      <w:widowControl w:val="0"/>
      <w:spacing w:before="360" w:line="240" w:lineRule="auto"/>
      <w:outlineLvl w:val="0"/>
    </w:pPr>
    <w:rPr>
      <w:rFonts w:eastAsia="Times New Roman"/>
      <w:b/>
      <w:bCs/>
      <w:color w:val="000000"/>
      <w:sz w:val="32"/>
      <w:szCs w:val="28"/>
    </w:rPr>
  </w:style>
  <w:style w:type="paragraph" w:styleId="Heading2">
    <w:name w:val="heading 2"/>
    <w:basedOn w:val="Normal"/>
    <w:next w:val="Normal"/>
    <w:link w:val="Heading2Char"/>
    <w:uiPriority w:val="9"/>
    <w:unhideWhenUsed/>
    <w:qFormat/>
    <w:rsid w:val="00CA5AFA"/>
    <w:pPr>
      <w:keepNext/>
      <w:keepLines/>
      <w:widowControl w:val="0"/>
      <w:spacing w:before="200" w:line="240" w:lineRule="auto"/>
      <w:outlineLvl w:val="1"/>
    </w:pPr>
    <w:rPr>
      <w:rFonts w:eastAsia="Times New Roman"/>
      <w:b/>
      <w:bCs/>
      <w:color w:val="000000"/>
      <w:sz w:val="28"/>
      <w:szCs w:val="26"/>
    </w:rPr>
  </w:style>
  <w:style w:type="paragraph" w:styleId="Heading3">
    <w:name w:val="heading 3"/>
    <w:basedOn w:val="Normal"/>
    <w:next w:val="Normal"/>
    <w:link w:val="Heading3Char"/>
    <w:uiPriority w:val="9"/>
    <w:unhideWhenUsed/>
    <w:qFormat/>
    <w:rsid w:val="005B5A97"/>
    <w:pPr>
      <w:keepNext/>
      <w:keepLines/>
      <w:widowControl w:val="0"/>
      <w:spacing w:before="0" w:line="240" w:lineRule="auto"/>
      <w:outlineLvl w:val="2"/>
    </w:pPr>
    <w:rPr>
      <w:rFonts w:eastAsia="Times New Roman"/>
      <w:b/>
      <w:bCs/>
      <w:color w:val="000000"/>
    </w:rPr>
  </w:style>
  <w:style w:type="paragraph" w:styleId="Heading4">
    <w:name w:val="heading 4"/>
    <w:basedOn w:val="Normal"/>
    <w:next w:val="Normal"/>
    <w:link w:val="Heading4Char"/>
    <w:uiPriority w:val="9"/>
    <w:unhideWhenUsed/>
    <w:rsid w:val="00CE687E"/>
    <w:pPr>
      <w:keepNext/>
      <w:keepLines/>
      <w:spacing w:before="200" w:after="0"/>
      <w:outlineLvl w:val="3"/>
    </w:pPr>
    <w:rPr>
      <w:rFonts w:eastAsia="Times New Roman"/>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A5AFA"/>
    <w:rPr>
      <w:rFonts w:eastAsia="Times New Roman" w:cs="Times New Roman"/>
      <w:b/>
      <w:bCs/>
      <w:color w:val="000000"/>
      <w:sz w:val="32"/>
      <w:szCs w:val="28"/>
      <w:lang w:eastAsia="en-GB"/>
    </w:rPr>
  </w:style>
  <w:style w:type="character" w:customStyle="1" w:styleId="Heading2Char">
    <w:name w:val="Heading 2 Char"/>
    <w:link w:val="Heading2"/>
    <w:uiPriority w:val="9"/>
    <w:rsid w:val="00CA5AFA"/>
    <w:rPr>
      <w:rFonts w:eastAsia="Times New Roman" w:cs="Times New Roman"/>
      <w:b/>
      <w:bCs/>
      <w:color w:val="000000"/>
      <w:sz w:val="28"/>
      <w:szCs w:val="26"/>
      <w:lang w:eastAsia="en-GB"/>
    </w:rPr>
  </w:style>
  <w:style w:type="paragraph" w:styleId="Title">
    <w:name w:val="Title"/>
    <w:basedOn w:val="Normal"/>
    <w:next w:val="Normal"/>
    <w:link w:val="TitleChar"/>
    <w:uiPriority w:val="10"/>
    <w:qFormat/>
    <w:rsid w:val="003450AC"/>
    <w:pPr>
      <w:widowControl w:val="0"/>
      <w:spacing w:before="0" w:line="240" w:lineRule="auto"/>
    </w:pPr>
    <w:rPr>
      <w:rFonts w:eastAsia="Times New Roman"/>
      <w:kern w:val="28"/>
      <w:sz w:val="40"/>
      <w:szCs w:val="52"/>
    </w:rPr>
  </w:style>
  <w:style w:type="character" w:customStyle="1" w:styleId="TitleChar">
    <w:name w:val="Title Char"/>
    <w:link w:val="Title"/>
    <w:uiPriority w:val="10"/>
    <w:rsid w:val="003450AC"/>
    <w:rPr>
      <w:rFonts w:eastAsia="Times New Roman" w:cs="Times New Roman"/>
      <w:kern w:val="28"/>
      <w:sz w:val="40"/>
      <w:szCs w:val="52"/>
      <w:lang w:eastAsia="en-GB"/>
    </w:rPr>
  </w:style>
  <w:style w:type="table" w:styleId="TableGrid">
    <w:name w:val="Table Grid"/>
    <w:basedOn w:val="TableNormal"/>
    <w:uiPriority w:val="59"/>
    <w:rsid w:val="008F4B7E"/>
    <w:pPr>
      <w:spacing w:before="60" w:after="80"/>
    </w:pPr>
    <w:rPr>
      <w:sz w:val="22"/>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table" w:styleId="LightGrid">
    <w:name w:val="Light Grid"/>
    <w:basedOn w:val="TableNormal"/>
    <w:uiPriority w:val="62"/>
    <w:rsid w:val="003A3BB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NoSpacing">
    <w:name w:val="No Spacing"/>
    <w:uiPriority w:val="1"/>
    <w:qFormat/>
    <w:rsid w:val="009C0C43"/>
    <w:rPr>
      <w:rFonts w:eastAsia="Times New Roman"/>
      <w:sz w:val="24"/>
      <w:szCs w:val="22"/>
    </w:rPr>
  </w:style>
  <w:style w:type="character" w:customStyle="1" w:styleId="Heading3Char">
    <w:name w:val="Heading 3 Char"/>
    <w:link w:val="Heading3"/>
    <w:uiPriority w:val="9"/>
    <w:rsid w:val="005B5A97"/>
    <w:rPr>
      <w:rFonts w:eastAsia="Times New Roman" w:cs="Times New Roman"/>
      <w:b/>
      <w:bCs/>
      <w:color w:val="000000"/>
      <w:szCs w:val="22"/>
      <w:lang w:eastAsia="en-GB"/>
    </w:rPr>
  </w:style>
  <w:style w:type="character" w:customStyle="1" w:styleId="Heading4Char">
    <w:name w:val="Heading 4 Char"/>
    <w:link w:val="Heading4"/>
    <w:uiPriority w:val="9"/>
    <w:rsid w:val="00CE687E"/>
    <w:rPr>
      <w:rFonts w:eastAsia="Times New Roman" w:cs="Times New Roman"/>
      <w:b/>
      <w:bCs/>
      <w:i/>
      <w:iCs/>
      <w:color w:val="000000"/>
      <w:szCs w:val="22"/>
      <w:lang w:eastAsia="en-GB"/>
    </w:rPr>
  </w:style>
  <w:style w:type="character" w:styleId="CommentReference">
    <w:name w:val="annotation reference"/>
    <w:uiPriority w:val="99"/>
    <w:semiHidden/>
    <w:unhideWhenUsed/>
    <w:rsid w:val="00B81FCB"/>
    <w:rPr>
      <w:sz w:val="16"/>
      <w:szCs w:val="16"/>
    </w:rPr>
  </w:style>
  <w:style w:type="paragraph" w:styleId="CommentText">
    <w:name w:val="annotation text"/>
    <w:basedOn w:val="Normal"/>
    <w:link w:val="CommentTextChar"/>
    <w:uiPriority w:val="99"/>
    <w:semiHidden/>
    <w:unhideWhenUsed/>
    <w:rsid w:val="00B81FCB"/>
    <w:rPr>
      <w:sz w:val="20"/>
      <w:szCs w:val="20"/>
    </w:rPr>
  </w:style>
  <w:style w:type="character" w:customStyle="1" w:styleId="CommentTextChar">
    <w:name w:val="Comment Text Char"/>
    <w:link w:val="CommentText"/>
    <w:uiPriority w:val="99"/>
    <w:semiHidden/>
    <w:rsid w:val="00B81FCB"/>
    <w:rPr>
      <w:rFonts w:ascii="Arial" w:hAnsi="Arial"/>
      <w:lang w:eastAsia="en-US"/>
    </w:rPr>
  </w:style>
  <w:style w:type="paragraph" w:styleId="CommentSubject">
    <w:name w:val="annotation subject"/>
    <w:basedOn w:val="CommentText"/>
    <w:next w:val="CommentText"/>
    <w:link w:val="CommentSubjectChar"/>
    <w:uiPriority w:val="99"/>
    <w:semiHidden/>
    <w:unhideWhenUsed/>
    <w:rsid w:val="00B81FCB"/>
    <w:rPr>
      <w:b/>
      <w:bCs/>
    </w:rPr>
  </w:style>
  <w:style w:type="character" w:customStyle="1" w:styleId="CommentSubjectChar">
    <w:name w:val="Comment Subject Char"/>
    <w:link w:val="CommentSubject"/>
    <w:uiPriority w:val="99"/>
    <w:semiHidden/>
    <w:rsid w:val="00B81FCB"/>
    <w:rPr>
      <w:rFonts w:ascii="Arial" w:hAnsi="Arial"/>
      <w:b/>
      <w:bCs/>
      <w:lang w:eastAsia="en-US"/>
    </w:rPr>
  </w:style>
  <w:style w:type="paragraph" w:styleId="BalloonText">
    <w:name w:val="Balloon Text"/>
    <w:basedOn w:val="Normal"/>
    <w:link w:val="BalloonTextChar"/>
    <w:uiPriority w:val="99"/>
    <w:semiHidden/>
    <w:unhideWhenUsed/>
    <w:rsid w:val="00B81FCB"/>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81FCB"/>
    <w:rPr>
      <w:rFonts w:ascii="Tahoma" w:hAnsi="Tahoma" w:cs="Tahoma"/>
      <w:sz w:val="16"/>
      <w:szCs w:val="16"/>
      <w:lang w:eastAsia="en-US"/>
    </w:rPr>
  </w:style>
  <w:style w:type="paragraph" w:styleId="ListParagraph">
    <w:name w:val="List Paragraph"/>
    <w:basedOn w:val="Normal"/>
    <w:uiPriority w:val="34"/>
    <w:rsid w:val="0062575B"/>
    <w:pPr>
      <w:ind w:left="720"/>
    </w:pPr>
  </w:style>
  <w:style w:type="paragraph" w:styleId="Header">
    <w:name w:val="header"/>
    <w:basedOn w:val="Normal"/>
    <w:link w:val="HeaderChar"/>
    <w:uiPriority w:val="99"/>
    <w:unhideWhenUsed/>
    <w:rsid w:val="00CB580D"/>
    <w:pPr>
      <w:tabs>
        <w:tab w:val="center" w:pos="4513"/>
        <w:tab w:val="right" w:pos="9026"/>
      </w:tabs>
    </w:pPr>
  </w:style>
  <w:style w:type="character" w:customStyle="1" w:styleId="HeaderChar">
    <w:name w:val="Header Char"/>
    <w:link w:val="Header"/>
    <w:uiPriority w:val="99"/>
    <w:rsid w:val="00CB580D"/>
    <w:rPr>
      <w:rFonts w:ascii="Arial" w:hAnsi="Arial"/>
      <w:sz w:val="24"/>
      <w:szCs w:val="24"/>
      <w:lang w:eastAsia="en-US"/>
    </w:rPr>
  </w:style>
  <w:style w:type="paragraph" w:styleId="Footer">
    <w:name w:val="footer"/>
    <w:basedOn w:val="Normal"/>
    <w:link w:val="FooterChar"/>
    <w:uiPriority w:val="99"/>
    <w:unhideWhenUsed/>
    <w:rsid w:val="00CB580D"/>
    <w:pPr>
      <w:tabs>
        <w:tab w:val="center" w:pos="4513"/>
        <w:tab w:val="right" w:pos="9026"/>
      </w:tabs>
    </w:pPr>
  </w:style>
  <w:style w:type="character" w:customStyle="1" w:styleId="FooterChar">
    <w:name w:val="Footer Char"/>
    <w:link w:val="Footer"/>
    <w:uiPriority w:val="99"/>
    <w:rsid w:val="00CB580D"/>
    <w:rPr>
      <w:rFonts w:ascii="Arial" w:hAnsi="Arial"/>
      <w:sz w:val="24"/>
      <w:szCs w:val="24"/>
      <w:lang w:eastAsia="en-US"/>
    </w:rPr>
  </w:style>
  <w:style w:type="paragraph" w:styleId="Revision">
    <w:name w:val="Revision"/>
    <w:hidden/>
    <w:uiPriority w:val="99"/>
    <w:semiHidden/>
    <w:rsid w:val="0096652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81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C2ED210AB4B049A6D86368936BDD73" ma:contentTypeVersion="1" ma:contentTypeDescription="Create a new document." ma:contentTypeScope="" ma:versionID="89714d0986a7930bcba34f7056ccb535">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4D705-E50A-400B-8E43-9E7CF4F60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67F65C-6E70-429F-A0BB-8C0DB1E2C337}">
  <ds:schemaRefs>
    <ds:schemaRef ds:uri="http://schemas.microsoft.com/sharepoint/v3/contenttype/forms"/>
  </ds:schemaRefs>
</ds:datastoreItem>
</file>

<file path=customXml/itemProps3.xml><?xml version="1.0" encoding="utf-8"?>
<ds:datastoreItem xmlns:ds="http://schemas.openxmlformats.org/officeDocument/2006/customXml" ds:itemID="{CEF69512-2AA2-428D-B999-AAC818EB8C79}">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10158E3-72BF-483E-A332-47D2E0260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1437</Words>
  <Characters>8194</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Transfer of “keepership” of prohibited type dogs</vt:lpstr>
    </vt:vector>
  </TitlesOfParts>
  <Company>Defra</Company>
  <LinksUpToDate>false</LinksUpToDate>
  <CharactersWithSpaces>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of “keepership” of prohibited type dogs</dc:title>
  <dc:creator>Shah, Sonya (DEFRA)</dc:creator>
  <cp:lastModifiedBy>CPS</cp:lastModifiedBy>
  <cp:revision>2</cp:revision>
  <dcterms:created xsi:type="dcterms:W3CDTF">2018-07-09T13:55:00Z</dcterms:created>
  <dcterms:modified xsi:type="dcterms:W3CDTF">2018-07-09T13:55:00Z</dcterms:modified>
</cp:coreProperties>
</file>