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85" w:rsidRDefault="00D34D85" w:rsidP="00B50C20">
      <w:pPr>
        <w:pStyle w:val="Heading1"/>
        <w:kinsoku w:val="0"/>
        <w:overflowPunct w:val="0"/>
        <w:ind w:left="567" w:hanging="567"/>
        <w:rPr>
          <w:rFonts w:eastAsiaTheme="minorEastAsia"/>
        </w:rPr>
      </w:pPr>
      <w:r>
        <w:rPr>
          <w:rFonts w:eastAsiaTheme="minorEastAsia"/>
          <w:u w:val="single" w:color="000000"/>
        </w:rPr>
        <w:t>ANNEX B</w:t>
      </w:r>
    </w:p>
    <w:p w:rsidR="00D34D85" w:rsidRDefault="00D34D85" w:rsidP="00B50C20">
      <w:pPr>
        <w:pStyle w:val="BodyText"/>
        <w:kinsoku w:val="0"/>
        <w:overflowPunct w:val="0"/>
        <w:spacing w:before="6"/>
        <w:ind w:left="567" w:hanging="567"/>
        <w:rPr>
          <w:b/>
          <w:bCs/>
          <w:sz w:val="24"/>
          <w:szCs w:val="24"/>
        </w:rPr>
      </w:pPr>
    </w:p>
    <w:p w:rsidR="00D34D85" w:rsidRDefault="00D34D85" w:rsidP="00B50C20">
      <w:pPr>
        <w:pStyle w:val="Heading3"/>
        <w:kinsoku w:val="0"/>
        <w:overflowPunct w:val="0"/>
        <w:ind w:left="567" w:hanging="567"/>
        <w:rPr>
          <w:rFonts w:eastAsiaTheme="minorEastAsia"/>
        </w:rPr>
      </w:pPr>
      <w:r>
        <w:rPr>
          <w:rFonts w:eastAsiaTheme="minorEastAsia"/>
        </w:rPr>
        <w:t>Examples of lower complexity cases dealt with in CPS Area Fraud Units.</w:t>
      </w:r>
    </w:p>
    <w:p w:rsidR="00D34D85" w:rsidRDefault="00D34D85" w:rsidP="00B50C20">
      <w:pPr>
        <w:pStyle w:val="BodyText"/>
        <w:kinsoku w:val="0"/>
        <w:overflowPunct w:val="0"/>
        <w:spacing w:before="8"/>
        <w:ind w:left="567" w:hanging="567"/>
        <w:rPr>
          <w:b/>
          <w:bCs/>
          <w:sz w:val="28"/>
          <w:szCs w:val="28"/>
        </w:rPr>
      </w:pPr>
    </w:p>
    <w:p w:rsidR="00D34D85" w:rsidRDefault="00D34D85" w:rsidP="00B50C20">
      <w:pPr>
        <w:pStyle w:val="ListParagraph"/>
        <w:numPr>
          <w:ilvl w:val="2"/>
          <w:numId w:val="1"/>
        </w:numPr>
        <w:tabs>
          <w:tab w:val="left" w:pos="1821"/>
        </w:tabs>
        <w:kinsoku w:val="0"/>
        <w:overflowPunct w:val="0"/>
        <w:ind w:left="567" w:hanging="567"/>
        <w:rPr>
          <w:sz w:val="22"/>
          <w:szCs w:val="22"/>
        </w:rPr>
      </w:pPr>
      <w:r>
        <w:rPr>
          <w:sz w:val="22"/>
          <w:szCs w:val="22"/>
        </w:rPr>
        <w:t>Living Together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Case</w:t>
      </w:r>
    </w:p>
    <w:p w:rsidR="00D34D85" w:rsidRDefault="00D34D85" w:rsidP="00B50C20">
      <w:pPr>
        <w:pStyle w:val="ListParagraph"/>
        <w:numPr>
          <w:ilvl w:val="2"/>
          <w:numId w:val="1"/>
        </w:numPr>
        <w:tabs>
          <w:tab w:val="left" w:pos="1821"/>
        </w:tabs>
        <w:kinsoku w:val="0"/>
        <w:overflowPunct w:val="0"/>
        <w:spacing w:before="38"/>
        <w:ind w:left="567" w:hanging="567"/>
        <w:rPr>
          <w:sz w:val="22"/>
          <w:szCs w:val="22"/>
        </w:rPr>
      </w:pPr>
      <w:r>
        <w:rPr>
          <w:sz w:val="22"/>
          <w:szCs w:val="22"/>
        </w:rPr>
        <w:t>Disability Living Allowance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offences</w:t>
      </w:r>
    </w:p>
    <w:p w:rsidR="00D34D85" w:rsidRDefault="00D34D85" w:rsidP="00B50C20">
      <w:pPr>
        <w:pStyle w:val="ListParagraph"/>
        <w:numPr>
          <w:ilvl w:val="2"/>
          <w:numId w:val="1"/>
        </w:numPr>
        <w:kinsoku w:val="0"/>
        <w:overflowPunct w:val="0"/>
        <w:spacing w:before="41"/>
        <w:ind w:left="567" w:hanging="567"/>
        <w:rPr>
          <w:sz w:val="22"/>
          <w:szCs w:val="22"/>
        </w:rPr>
      </w:pPr>
      <w:r>
        <w:rPr>
          <w:sz w:val="22"/>
          <w:szCs w:val="22"/>
        </w:rPr>
        <w:t>Failing to notify  of a change in circumstances relating to benefits</w:t>
      </w:r>
      <w:r>
        <w:rPr>
          <w:spacing w:val="-33"/>
          <w:sz w:val="22"/>
          <w:szCs w:val="22"/>
        </w:rPr>
        <w:t xml:space="preserve"> </w:t>
      </w:r>
      <w:r>
        <w:rPr>
          <w:sz w:val="22"/>
          <w:szCs w:val="22"/>
        </w:rPr>
        <w:t>payments</w:t>
      </w:r>
    </w:p>
    <w:p w:rsidR="00D34D85" w:rsidRDefault="00D34D85" w:rsidP="00B50C20">
      <w:pPr>
        <w:pStyle w:val="ListParagraph"/>
        <w:numPr>
          <w:ilvl w:val="2"/>
          <w:numId w:val="1"/>
        </w:numPr>
        <w:tabs>
          <w:tab w:val="left" w:pos="1821"/>
        </w:tabs>
        <w:kinsoku w:val="0"/>
        <w:overflowPunct w:val="0"/>
        <w:spacing w:before="41"/>
        <w:ind w:left="567" w:hanging="567"/>
        <w:rPr>
          <w:sz w:val="22"/>
          <w:szCs w:val="22"/>
        </w:rPr>
      </w:pPr>
      <w:r>
        <w:rPr>
          <w:sz w:val="22"/>
          <w:szCs w:val="22"/>
        </w:rPr>
        <w:t>Falsely claiming tax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credits</w:t>
      </w:r>
    </w:p>
    <w:p w:rsidR="00D34D85" w:rsidRDefault="00D34D85" w:rsidP="00B50C20">
      <w:pPr>
        <w:pStyle w:val="ListParagraph"/>
        <w:numPr>
          <w:ilvl w:val="2"/>
          <w:numId w:val="1"/>
        </w:numPr>
        <w:tabs>
          <w:tab w:val="left" w:pos="1821"/>
        </w:tabs>
        <w:kinsoku w:val="0"/>
        <w:overflowPunct w:val="0"/>
        <w:spacing w:before="38"/>
        <w:ind w:left="567" w:hanging="567"/>
        <w:rPr>
          <w:sz w:val="22"/>
          <w:szCs w:val="22"/>
        </w:rPr>
      </w:pPr>
      <w:r>
        <w:rPr>
          <w:sz w:val="22"/>
          <w:szCs w:val="22"/>
        </w:rPr>
        <w:t>Student Loan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fraud</w:t>
      </w:r>
    </w:p>
    <w:p w:rsidR="00D34D85" w:rsidRDefault="00D34D85" w:rsidP="00B50C20">
      <w:pPr>
        <w:pStyle w:val="ListParagraph"/>
        <w:numPr>
          <w:ilvl w:val="2"/>
          <w:numId w:val="1"/>
        </w:numPr>
        <w:tabs>
          <w:tab w:val="left" w:pos="1822"/>
        </w:tabs>
        <w:kinsoku w:val="0"/>
        <w:overflowPunct w:val="0"/>
        <w:spacing w:before="41"/>
        <w:ind w:left="567" w:hanging="567"/>
        <w:rPr>
          <w:sz w:val="22"/>
          <w:szCs w:val="22"/>
        </w:rPr>
      </w:pPr>
      <w:r>
        <w:rPr>
          <w:sz w:val="22"/>
          <w:szCs w:val="22"/>
        </w:rPr>
        <w:t>Child Maintenance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Offences</w:t>
      </w:r>
    </w:p>
    <w:p w:rsidR="00D34D85" w:rsidRDefault="00D34D85" w:rsidP="00B50C20">
      <w:pPr>
        <w:pStyle w:val="ListParagraph"/>
        <w:numPr>
          <w:ilvl w:val="2"/>
          <w:numId w:val="1"/>
        </w:numPr>
        <w:tabs>
          <w:tab w:val="left" w:pos="1822"/>
        </w:tabs>
        <w:kinsoku w:val="0"/>
        <w:overflowPunct w:val="0"/>
        <w:spacing w:before="39"/>
        <w:ind w:left="567" w:hanging="567"/>
        <w:rPr>
          <w:sz w:val="22"/>
          <w:szCs w:val="22"/>
        </w:rPr>
      </w:pPr>
      <w:r>
        <w:rPr>
          <w:sz w:val="22"/>
          <w:szCs w:val="22"/>
        </w:rPr>
        <w:t>Cash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Seizures</w:t>
      </w:r>
    </w:p>
    <w:p w:rsidR="00D34D85" w:rsidRDefault="00D34D85" w:rsidP="00B50C20">
      <w:pPr>
        <w:pStyle w:val="ListParagraph"/>
        <w:numPr>
          <w:ilvl w:val="2"/>
          <w:numId w:val="1"/>
        </w:numPr>
        <w:tabs>
          <w:tab w:val="left" w:pos="1822"/>
        </w:tabs>
        <w:kinsoku w:val="0"/>
        <w:overflowPunct w:val="0"/>
        <w:spacing w:before="41"/>
        <w:ind w:left="567" w:hanging="567"/>
        <w:rPr>
          <w:sz w:val="22"/>
          <w:szCs w:val="22"/>
        </w:rPr>
      </w:pPr>
      <w:r>
        <w:rPr>
          <w:sz w:val="22"/>
          <w:szCs w:val="22"/>
        </w:rPr>
        <w:t>S72(11)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Offences</w:t>
      </w:r>
    </w:p>
    <w:p w:rsidR="00D34D85" w:rsidRDefault="00D34D85" w:rsidP="00B50C20">
      <w:pPr>
        <w:pStyle w:val="ListParagraph"/>
        <w:numPr>
          <w:ilvl w:val="2"/>
          <w:numId w:val="1"/>
        </w:numPr>
        <w:tabs>
          <w:tab w:val="left" w:pos="1822"/>
        </w:tabs>
        <w:kinsoku w:val="0"/>
        <w:overflowPunct w:val="0"/>
        <w:spacing w:before="38"/>
        <w:ind w:left="567" w:hanging="567"/>
        <w:rPr>
          <w:sz w:val="22"/>
          <w:szCs w:val="22"/>
        </w:rPr>
      </w:pPr>
      <w:r>
        <w:rPr>
          <w:sz w:val="22"/>
          <w:szCs w:val="22"/>
        </w:rPr>
        <w:t>Possess goods with a false trade mark for sale e.g.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>tobacco</w:t>
      </w:r>
    </w:p>
    <w:p w:rsidR="00D34D85" w:rsidRDefault="00D34D85" w:rsidP="00B50C20">
      <w:pPr>
        <w:pStyle w:val="ListParagraph"/>
        <w:numPr>
          <w:ilvl w:val="2"/>
          <w:numId w:val="1"/>
        </w:numPr>
        <w:tabs>
          <w:tab w:val="left" w:pos="1822"/>
        </w:tabs>
        <w:kinsoku w:val="0"/>
        <w:overflowPunct w:val="0"/>
        <w:spacing w:before="40"/>
        <w:ind w:left="567" w:hanging="567"/>
        <w:rPr>
          <w:sz w:val="22"/>
          <w:szCs w:val="22"/>
        </w:rPr>
      </w:pPr>
      <w:r>
        <w:rPr>
          <w:sz w:val="22"/>
          <w:szCs w:val="22"/>
        </w:rPr>
        <w:t>Fraudulent evasion of duty by selling prohibited or restricted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>goods</w:t>
      </w:r>
    </w:p>
    <w:p w:rsidR="00D34D85" w:rsidRDefault="00D34D85" w:rsidP="00B50C20">
      <w:pPr>
        <w:pStyle w:val="ListParagraph"/>
        <w:numPr>
          <w:ilvl w:val="2"/>
          <w:numId w:val="1"/>
        </w:numPr>
        <w:tabs>
          <w:tab w:val="left" w:pos="1822"/>
        </w:tabs>
        <w:kinsoku w:val="0"/>
        <w:overflowPunct w:val="0"/>
        <w:spacing w:before="38"/>
        <w:ind w:left="567" w:hanging="567"/>
        <w:rPr>
          <w:sz w:val="22"/>
          <w:szCs w:val="22"/>
        </w:rPr>
      </w:pPr>
      <w:r>
        <w:rPr>
          <w:sz w:val="22"/>
          <w:szCs w:val="22"/>
        </w:rPr>
        <w:t>Failing to pay duty on imported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goods</w:t>
      </w:r>
    </w:p>
    <w:p w:rsidR="00D34D85" w:rsidRDefault="00D34D85" w:rsidP="00B50C20">
      <w:pPr>
        <w:pStyle w:val="ListParagraph"/>
        <w:numPr>
          <w:ilvl w:val="2"/>
          <w:numId w:val="1"/>
        </w:numPr>
        <w:tabs>
          <w:tab w:val="left" w:pos="1822"/>
        </w:tabs>
        <w:kinsoku w:val="0"/>
        <w:overflowPunct w:val="0"/>
        <w:spacing w:before="41"/>
        <w:ind w:left="567" w:hanging="567"/>
        <w:rPr>
          <w:sz w:val="22"/>
          <w:szCs w:val="22"/>
        </w:rPr>
      </w:pPr>
      <w:r>
        <w:rPr>
          <w:sz w:val="22"/>
          <w:szCs w:val="22"/>
        </w:rPr>
        <w:t>Illegal felling of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trees</w:t>
      </w:r>
    </w:p>
    <w:p w:rsidR="00D34D85" w:rsidRDefault="00D34D85" w:rsidP="00B50C20">
      <w:pPr>
        <w:pStyle w:val="ListParagraph"/>
        <w:numPr>
          <w:ilvl w:val="2"/>
          <w:numId w:val="1"/>
        </w:numPr>
        <w:tabs>
          <w:tab w:val="left" w:pos="1823"/>
        </w:tabs>
        <w:kinsoku w:val="0"/>
        <w:overflowPunct w:val="0"/>
        <w:spacing w:before="41"/>
        <w:ind w:left="567" w:hanging="567"/>
        <w:rPr>
          <w:sz w:val="22"/>
          <w:szCs w:val="22"/>
        </w:rPr>
      </w:pPr>
      <w:r>
        <w:rPr>
          <w:sz w:val="22"/>
          <w:szCs w:val="22"/>
        </w:rPr>
        <w:t>Failing to comply with a regulations relating to slaughterhouse</w:t>
      </w:r>
      <w:r>
        <w:rPr>
          <w:spacing w:val="-33"/>
          <w:sz w:val="22"/>
          <w:szCs w:val="22"/>
        </w:rPr>
        <w:t xml:space="preserve"> </w:t>
      </w:r>
      <w:r>
        <w:rPr>
          <w:sz w:val="22"/>
          <w:szCs w:val="22"/>
        </w:rPr>
        <w:t>conditions</w:t>
      </w:r>
    </w:p>
    <w:p w:rsidR="00D34D85" w:rsidRDefault="00D34D85" w:rsidP="00B50C20">
      <w:pPr>
        <w:pStyle w:val="ListParagraph"/>
        <w:tabs>
          <w:tab w:val="left" w:pos="1823"/>
        </w:tabs>
        <w:kinsoku w:val="0"/>
        <w:overflowPunct w:val="0"/>
        <w:spacing w:before="41"/>
        <w:ind w:left="567" w:hanging="567"/>
        <w:rPr>
          <w:sz w:val="22"/>
          <w:szCs w:val="22"/>
        </w:rPr>
      </w:pPr>
    </w:p>
    <w:p w:rsidR="00D34D85" w:rsidRDefault="00D34D85" w:rsidP="00B50C20">
      <w:pPr>
        <w:pStyle w:val="Heading1"/>
        <w:kinsoku w:val="0"/>
        <w:overflowPunct w:val="0"/>
        <w:ind w:left="567" w:hanging="567"/>
        <w:rPr>
          <w:rFonts w:eastAsiaTheme="minorEastAsia"/>
        </w:rPr>
      </w:pPr>
      <w:r>
        <w:rPr>
          <w:rFonts w:eastAsiaTheme="minorEastAsia"/>
          <w:u w:val="single"/>
        </w:rPr>
        <w:t>SPECIALIST FRAUD DIVISION DETAILS</w:t>
      </w:r>
    </w:p>
    <w:p w:rsidR="00D34D85" w:rsidRDefault="00D34D85" w:rsidP="00B50C20">
      <w:pPr>
        <w:pStyle w:val="BodyText"/>
        <w:kinsoku w:val="0"/>
        <w:overflowPunct w:val="0"/>
        <w:spacing w:before="9"/>
        <w:ind w:left="567" w:hanging="567"/>
        <w:rPr>
          <w:b/>
          <w:bCs/>
          <w:sz w:val="25"/>
          <w:szCs w:val="25"/>
        </w:rPr>
      </w:pPr>
    </w:p>
    <w:p w:rsidR="00D34D85" w:rsidRDefault="00D34D85" w:rsidP="00B50C20">
      <w:pPr>
        <w:pStyle w:val="BodyText"/>
        <w:kinsoku w:val="0"/>
        <w:overflowPunct w:val="0"/>
        <w:spacing w:before="44"/>
        <w:ind w:left="567" w:hanging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SFD London Unit</w:t>
      </w:r>
    </w:p>
    <w:p w:rsidR="00D34D85" w:rsidRDefault="00D34D85" w:rsidP="00B50C20">
      <w:pPr>
        <w:pStyle w:val="BodyText"/>
        <w:kinsoku w:val="0"/>
        <w:overflowPunct w:val="0"/>
        <w:spacing w:before="8"/>
        <w:ind w:left="567" w:hanging="567"/>
        <w:rPr>
          <w:b/>
          <w:bCs/>
          <w:sz w:val="24"/>
          <w:szCs w:val="24"/>
        </w:rPr>
      </w:pPr>
    </w:p>
    <w:p w:rsidR="00D34D85" w:rsidRDefault="00D34D85" w:rsidP="00B50C20">
      <w:pPr>
        <w:pStyle w:val="BodyText"/>
        <w:kinsoku w:val="0"/>
        <w:overflowPunct w:val="0"/>
        <w:spacing w:before="57" w:line="276" w:lineRule="auto"/>
        <w:ind w:right="506"/>
      </w:pPr>
      <w:r>
        <w:t>Covering geographical regions of South of England, South West England, South East England, London, Eastern England and Thames Valley</w:t>
      </w:r>
    </w:p>
    <w:p w:rsidR="00D34D85" w:rsidRDefault="00D34D85" w:rsidP="00B50C20">
      <w:pPr>
        <w:pStyle w:val="BodyText"/>
        <w:kinsoku w:val="0"/>
        <w:overflowPunct w:val="0"/>
        <w:spacing w:before="2"/>
        <w:ind w:left="567" w:hanging="567"/>
        <w:rPr>
          <w:sz w:val="25"/>
          <w:szCs w:val="25"/>
        </w:rPr>
      </w:pPr>
    </w:p>
    <w:p w:rsidR="00D34D85" w:rsidRDefault="00D34D85" w:rsidP="00B50C20">
      <w:pPr>
        <w:pStyle w:val="BodyText"/>
        <w:kinsoku w:val="0"/>
        <w:overflowPunct w:val="0"/>
        <w:spacing w:before="166"/>
        <w:ind w:left="567" w:hanging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 w:color="000000"/>
        </w:rPr>
        <w:t>SFD Regional Unit (Midlands and Wales)</w:t>
      </w:r>
    </w:p>
    <w:p w:rsidR="00D34D85" w:rsidRDefault="00D34D85" w:rsidP="00B50C20">
      <w:pPr>
        <w:pStyle w:val="BodyText"/>
        <w:kinsoku w:val="0"/>
        <w:overflowPunct w:val="0"/>
        <w:spacing w:before="7"/>
        <w:ind w:left="567" w:hanging="567"/>
        <w:rPr>
          <w:b/>
          <w:bCs/>
          <w:sz w:val="24"/>
          <w:szCs w:val="24"/>
        </w:rPr>
      </w:pPr>
    </w:p>
    <w:p w:rsidR="00D34D85" w:rsidRDefault="00D34D85" w:rsidP="00B50C20">
      <w:pPr>
        <w:pStyle w:val="BodyText"/>
        <w:kinsoku w:val="0"/>
        <w:overflowPunct w:val="0"/>
        <w:spacing w:before="56"/>
        <w:ind w:left="567" w:hanging="567"/>
      </w:pPr>
      <w:proofErr w:type="gramStart"/>
      <w:r>
        <w:t>Covering geographical regions of Wales, West Midlands and East Midlands.</w:t>
      </w:r>
      <w:proofErr w:type="gramEnd"/>
    </w:p>
    <w:p w:rsidR="00D34D85" w:rsidRDefault="00D34D85" w:rsidP="00B50C20">
      <w:pPr>
        <w:pStyle w:val="BodyText"/>
        <w:kinsoku w:val="0"/>
        <w:overflowPunct w:val="0"/>
        <w:spacing w:before="8"/>
        <w:ind w:left="567" w:hanging="567"/>
        <w:rPr>
          <w:sz w:val="28"/>
          <w:szCs w:val="28"/>
        </w:rPr>
      </w:pPr>
    </w:p>
    <w:p w:rsidR="00D34D85" w:rsidRDefault="00D34D85" w:rsidP="00B50C20">
      <w:pPr>
        <w:pStyle w:val="BodyText"/>
        <w:kinsoku w:val="0"/>
        <w:overflowPunct w:val="0"/>
        <w:spacing w:before="166"/>
        <w:ind w:left="567" w:hanging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 w:color="000000"/>
        </w:rPr>
        <w:t>SFD Regional Unit (North)</w:t>
      </w:r>
    </w:p>
    <w:p w:rsidR="00D34D85" w:rsidRDefault="00D34D85" w:rsidP="00B50C20">
      <w:pPr>
        <w:pStyle w:val="BodyText"/>
        <w:kinsoku w:val="0"/>
        <w:overflowPunct w:val="0"/>
        <w:spacing w:before="7"/>
        <w:ind w:left="567" w:hanging="567"/>
        <w:rPr>
          <w:b/>
          <w:bCs/>
          <w:sz w:val="24"/>
          <w:szCs w:val="24"/>
        </w:rPr>
      </w:pPr>
    </w:p>
    <w:p w:rsidR="00D34D85" w:rsidRDefault="00D34D85" w:rsidP="00B50C20">
      <w:pPr>
        <w:pStyle w:val="BodyText"/>
        <w:kinsoku w:val="0"/>
        <w:overflowPunct w:val="0"/>
        <w:spacing w:before="56" w:line="276" w:lineRule="auto"/>
        <w:ind w:right="100"/>
      </w:pPr>
      <w:r>
        <w:t>Cases should be referred to the CPS Mersey Cheshire if the offending takes places in the following geographical regions: Northumberland, Tyne and Wear, Cumbria, Lancashire, Greater Manchester, Durham, Merseyside, Cheshire, North Yorkshire, West Yorkshire, South Yorkshire and Humberside.</w:t>
      </w:r>
    </w:p>
    <w:p w:rsidR="00D34D85" w:rsidRDefault="00D34D85" w:rsidP="00B50C20">
      <w:pPr>
        <w:pStyle w:val="BodyText"/>
        <w:kinsoku w:val="0"/>
        <w:overflowPunct w:val="0"/>
        <w:spacing w:before="56" w:line="276" w:lineRule="auto"/>
        <w:ind w:left="567" w:right="100" w:hanging="567"/>
      </w:pPr>
    </w:p>
    <w:p w:rsidR="00B50C20" w:rsidRDefault="00D34D85" w:rsidP="00B50C20">
      <w:pPr>
        <w:pStyle w:val="BodyText"/>
        <w:kinsoku w:val="0"/>
        <w:overflowPunct w:val="0"/>
        <w:spacing w:before="56" w:line="276" w:lineRule="auto"/>
        <w:ind w:right="100"/>
      </w:pPr>
      <w:r>
        <w:t>In addition, all DEFRA and Executive Agency work that does not meet the complex definition should be referred to CPS Mersey Cheshire irrespective of location of offending.</w:t>
      </w:r>
    </w:p>
    <w:p w:rsidR="00B50C20" w:rsidRDefault="00B50C20" w:rsidP="00B50C20">
      <w:pPr>
        <w:ind w:left="567" w:hanging="567"/>
        <w:rPr>
          <w:sz w:val="22"/>
          <w:szCs w:val="22"/>
        </w:rPr>
      </w:pPr>
      <w:r>
        <w:br w:type="page"/>
      </w:r>
    </w:p>
    <w:p w:rsidR="00D34D85" w:rsidRDefault="00D34D85" w:rsidP="00B50C20">
      <w:pPr>
        <w:pStyle w:val="BodyText"/>
        <w:kinsoku w:val="0"/>
        <w:overflowPunct w:val="0"/>
        <w:spacing w:before="2"/>
        <w:ind w:left="567" w:hanging="567"/>
        <w:rPr>
          <w:sz w:val="25"/>
          <w:szCs w:val="25"/>
        </w:rPr>
      </w:pPr>
    </w:p>
    <w:p w:rsidR="00D34D85" w:rsidRDefault="00D34D85" w:rsidP="00B50C20">
      <w:pPr>
        <w:pStyle w:val="BodyText"/>
        <w:kinsoku w:val="0"/>
        <w:overflowPunct w:val="0"/>
        <w:spacing w:before="21"/>
        <w:ind w:left="567" w:hanging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 w:color="000000"/>
        </w:rPr>
        <w:t>CPS MERSEY CHESHIRE FRAUD CENTRE DETAILS</w:t>
      </w:r>
    </w:p>
    <w:p w:rsidR="00D34D85" w:rsidRDefault="00D34D85" w:rsidP="00B50C20">
      <w:pPr>
        <w:pStyle w:val="BodyText"/>
        <w:kinsoku w:val="0"/>
        <w:overflowPunct w:val="0"/>
        <w:spacing w:before="6"/>
        <w:ind w:left="567" w:hanging="567"/>
        <w:rPr>
          <w:b/>
          <w:bCs/>
          <w:sz w:val="24"/>
          <w:szCs w:val="24"/>
        </w:rPr>
      </w:pPr>
    </w:p>
    <w:p w:rsidR="00D34D85" w:rsidRDefault="00D34D85" w:rsidP="00B50C20">
      <w:pPr>
        <w:pStyle w:val="BodyText"/>
        <w:kinsoku w:val="0"/>
        <w:overflowPunct w:val="0"/>
        <w:spacing w:before="56" w:line="276" w:lineRule="auto"/>
        <w:ind w:right="92"/>
      </w:pPr>
      <w:proofErr w:type="gramStart"/>
      <w:r>
        <w:t>Covering geographical regions of Northumberland, Tyne and Wear, Cumbria, Lancashire, Greater Manchester, Durham, Merseyside, Cheshire, North Yorkshire, West Yorkshire, South Yorkshire and Humberside.</w:t>
      </w:r>
      <w:proofErr w:type="gramEnd"/>
    </w:p>
    <w:p w:rsidR="00D34D85" w:rsidRDefault="00D34D85" w:rsidP="00B50C20">
      <w:pPr>
        <w:pStyle w:val="BodyText"/>
        <w:kinsoku w:val="0"/>
        <w:overflowPunct w:val="0"/>
        <w:spacing w:before="2"/>
        <w:rPr>
          <w:sz w:val="25"/>
          <w:szCs w:val="25"/>
        </w:rPr>
      </w:pPr>
    </w:p>
    <w:p w:rsidR="00D34D85" w:rsidRDefault="00D34D85" w:rsidP="00B50C20">
      <w:pPr>
        <w:pStyle w:val="BodyText"/>
        <w:kinsoku w:val="0"/>
        <w:overflowPunct w:val="0"/>
        <w:spacing w:line="276" w:lineRule="auto"/>
        <w:ind w:right="391"/>
      </w:pPr>
      <w:r>
        <w:t>Also covering all lower complexity DEFRA and Executive Agencies irrespective of the location of offending.</w:t>
      </w:r>
    </w:p>
    <w:p w:rsidR="00D34D85" w:rsidRDefault="00D34D85" w:rsidP="00B50C20">
      <w:pPr>
        <w:pStyle w:val="BodyText"/>
        <w:kinsoku w:val="0"/>
        <w:overflowPunct w:val="0"/>
        <w:spacing w:before="2"/>
        <w:rPr>
          <w:sz w:val="25"/>
          <w:szCs w:val="25"/>
        </w:rPr>
      </w:pPr>
    </w:p>
    <w:p w:rsidR="00D34D85" w:rsidRDefault="00D34D85" w:rsidP="00B50C20">
      <w:pPr>
        <w:rPr>
          <w:rFonts w:ascii="Times New Roman" w:hAnsi="Times New Roman" w:cs="Times New Roman"/>
        </w:rPr>
      </w:pPr>
    </w:p>
    <w:p w:rsidR="00D34D85" w:rsidRDefault="00D34D85" w:rsidP="00B50C20">
      <w:pPr>
        <w:pStyle w:val="BodyText"/>
        <w:kinsoku w:val="0"/>
        <w:overflowPunct w:val="0"/>
        <w:spacing w:before="2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 w:color="000000"/>
        </w:rPr>
        <w:t>CPS CYMRU</w:t>
      </w:r>
      <w:bookmarkStart w:id="0" w:name="_GoBack"/>
      <w:bookmarkEnd w:id="0"/>
      <w:r>
        <w:rPr>
          <w:b/>
          <w:bCs/>
          <w:sz w:val="28"/>
          <w:szCs w:val="28"/>
          <w:u w:val="single" w:color="000000"/>
        </w:rPr>
        <w:t>-WALES FRAUD CENTRE DETAILS</w:t>
      </w:r>
    </w:p>
    <w:p w:rsidR="00D34D85" w:rsidRDefault="00D34D85" w:rsidP="00B50C20">
      <w:pPr>
        <w:pStyle w:val="BodyText"/>
        <w:kinsoku w:val="0"/>
        <w:overflowPunct w:val="0"/>
        <w:spacing w:before="6"/>
        <w:rPr>
          <w:b/>
          <w:bCs/>
          <w:sz w:val="24"/>
          <w:szCs w:val="24"/>
        </w:rPr>
      </w:pPr>
    </w:p>
    <w:p w:rsidR="00D34D85" w:rsidRDefault="00D34D85" w:rsidP="00B50C20">
      <w:pPr>
        <w:pStyle w:val="BodyText"/>
        <w:kinsoku w:val="0"/>
        <w:overflowPunct w:val="0"/>
        <w:spacing w:before="56" w:line="276" w:lineRule="auto"/>
        <w:ind w:right="94"/>
      </w:pPr>
      <w:proofErr w:type="gramStart"/>
      <w:r>
        <w:t>Covering geographical regions of Wales (all regions), Herefordshire, Gloucestershire, Worcestershire, Warwickshire, Shropshire, West Midlands, Staffordshire, Derbyshire, Northamptonshire, Leicestershire, Rutland, Nottinghamshire, Lincolnshire, Leicestershire, Essex, Cambridgeshire, Suffolk and Norfolk.</w:t>
      </w:r>
      <w:proofErr w:type="gramEnd"/>
    </w:p>
    <w:p w:rsidR="00D34D85" w:rsidRDefault="00D34D85" w:rsidP="00B50C20">
      <w:pPr>
        <w:pStyle w:val="BodyText"/>
        <w:kinsoku w:val="0"/>
        <w:overflowPunct w:val="0"/>
        <w:spacing w:before="2"/>
        <w:rPr>
          <w:sz w:val="25"/>
          <w:szCs w:val="25"/>
        </w:rPr>
      </w:pPr>
    </w:p>
    <w:p w:rsidR="00D34D85" w:rsidRDefault="00D34D85" w:rsidP="00B50C20">
      <w:pPr>
        <w:rPr>
          <w:rFonts w:ascii="Times New Roman" w:hAnsi="Times New Roman" w:cs="Times New Roman"/>
        </w:rPr>
      </w:pPr>
    </w:p>
    <w:p w:rsidR="00D34D85" w:rsidRDefault="00D34D85" w:rsidP="00B50C20">
      <w:pPr>
        <w:pStyle w:val="Heading1"/>
        <w:kinsoku w:val="0"/>
        <w:overflowPunct w:val="0"/>
        <w:ind w:left="0"/>
        <w:jc w:val="center"/>
        <w:rPr>
          <w:rFonts w:eastAsiaTheme="minorEastAsia"/>
        </w:rPr>
      </w:pPr>
      <w:r>
        <w:rPr>
          <w:rFonts w:eastAsiaTheme="minorEastAsia"/>
          <w:u w:val="single" w:color="000000"/>
        </w:rPr>
        <w:t>CPS WESSEX FRAUD CENTRE DETAILS</w:t>
      </w:r>
    </w:p>
    <w:p w:rsidR="00D34D85" w:rsidRDefault="00D34D85" w:rsidP="00B50C20">
      <w:pPr>
        <w:pStyle w:val="BodyText"/>
        <w:kinsoku w:val="0"/>
        <w:overflowPunct w:val="0"/>
        <w:spacing w:before="6"/>
        <w:rPr>
          <w:b/>
          <w:bCs/>
          <w:sz w:val="24"/>
          <w:szCs w:val="24"/>
        </w:rPr>
      </w:pPr>
    </w:p>
    <w:p w:rsidR="009619D8" w:rsidRDefault="00D34D85" w:rsidP="00B50C20">
      <w:pPr>
        <w:pStyle w:val="BodyText"/>
        <w:kinsoku w:val="0"/>
        <w:overflowPunct w:val="0"/>
        <w:spacing w:before="56" w:line="276" w:lineRule="auto"/>
        <w:ind w:right="95"/>
      </w:pPr>
      <w:r>
        <w:t>Covering geographical regions of London, Surrey, East Sussex, West Sussex, Kent, Cornwall, Devon, Dorset, Somerset, Hampshire, Berkshire, Oxfordshire, Buckinghamshire, Bedfordshire, Wiltshire and Hertfordshire</w:t>
      </w:r>
    </w:p>
    <w:sectPr w:rsidR="00961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527" w:hanging="428"/>
      </w:pPr>
      <w:rPr>
        <w:rFonts w:ascii="Calibri" w:hAnsi="Calibri" w:cs="Calibri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807" w:hanging="709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1820" w:hanging="361"/>
      </w:pPr>
      <w:rPr>
        <w:rFonts w:ascii="Symbol" w:hAnsi="Symbol"/>
        <w:b w:val="0"/>
        <w:w w:val="100"/>
        <w:sz w:val="22"/>
      </w:rPr>
    </w:lvl>
    <w:lvl w:ilvl="3">
      <w:numFmt w:val="bullet"/>
      <w:lvlText w:val="o"/>
      <w:lvlJc w:val="left"/>
      <w:pPr>
        <w:ind w:left="2540" w:hanging="361"/>
      </w:pPr>
      <w:rPr>
        <w:rFonts w:ascii="Courier New" w:hAnsi="Courier New"/>
        <w:b w:val="0"/>
        <w:w w:val="100"/>
        <w:sz w:val="22"/>
      </w:rPr>
    </w:lvl>
    <w:lvl w:ilvl="4">
      <w:numFmt w:val="bullet"/>
      <w:lvlText w:val="•"/>
      <w:lvlJc w:val="left"/>
      <w:pPr>
        <w:ind w:left="3632" w:hanging="361"/>
      </w:pPr>
    </w:lvl>
    <w:lvl w:ilvl="5">
      <w:numFmt w:val="bullet"/>
      <w:lvlText w:val="•"/>
      <w:lvlJc w:val="left"/>
      <w:pPr>
        <w:ind w:left="4724" w:hanging="361"/>
      </w:pPr>
    </w:lvl>
    <w:lvl w:ilvl="6">
      <w:numFmt w:val="bullet"/>
      <w:lvlText w:val="•"/>
      <w:lvlJc w:val="left"/>
      <w:pPr>
        <w:ind w:left="5817" w:hanging="361"/>
      </w:pPr>
    </w:lvl>
    <w:lvl w:ilvl="7">
      <w:numFmt w:val="bullet"/>
      <w:lvlText w:val="•"/>
      <w:lvlJc w:val="left"/>
      <w:pPr>
        <w:ind w:left="6909" w:hanging="361"/>
      </w:pPr>
    </w:lvl>
    <w:lvl w:ilvl="8">
      <w:numFmt w:val="bullet"/>
      <w:lvlText w:val="•"/>
      <w:lvlJc w:val="left"/>
      <w:pPr>
        <w:ind w:left="8001" w:hanging="361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85"/>
    <w:rsid w:val="00166180"/>
    <w:rsid w:val="009619D8"/>
    <w:rsid w:val="00B50C20"/>
    <w:rsid w:val="00D34D85"/>
    <w:rsid w:val="00EA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4D8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D34D85"/>
    <w:pPr>
      <w:spacing w:before="21"/>
      <w:ind w:left="1100"/>
      <w:outlineLvl w:val="0"/>
    </w:pPr>
    <w:rPr>
      <w:rFonts w:eastAsia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D34D85"/>
    <w:pPr>
      <w:spacing w:before="56"/>
      <w:ind w:left="1100"/>
      <w:outlineLvl w:val="2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34D85"/>
    <w:rPr>
      <w:rFonts w:ascii="Calibri" w:eastAsia="Times New Roman" w:hAnsi="Calibri" w:cs="Calibri"/>
      <w:b/>
      <w:b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D34D85"/>
    <w:rPr>
      <w:rFonts w:ascii="Calibri" w:eastAsia="Times New Roman" w:hAnsi="Calibri" w:cs="Calibri"/>
      <w:b/>
      <w:bCs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34D8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D34D85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34D85"/>
    <w:rPr>
      <w:rFonts w:ascii="Calibri" w:eastAsiaTheme="minorEastAsia" w:hAnsi="Calibri" w:cs="Calibri"/>
      <w:lang w:eastAsia="en-GB"/>
    </w:rPr>
  </w:style>
  <w:style w:type="paragraph" w:styleId="ListParagraph">
    <w:name w:val="List Paragraph"/>
    <w:basedOn w:val="Normal"/>
    <w:uiPriority w:val="1"/>
    <w:qFormat/>
    <w:rsid w:val="00D34D85"/>
    <w:pPr>
      <w:ind w:left="1820" w:hanging="360"/>
    </w:pPr>
  </w:style>
  <w:style w:type="paragraph" w:customStyle="1" w:styleId="TableParagraph">
    <w:name w:val="Table Paragraph"/>
    <w:basedOn w:val="Normal"/>
    <w:uiPriority w:val="1"/>
    <w:qFormat/>
    <w:rsid w:val="00D34D85"/>
    <w:pPr>
      <w:spacing w:before="76"/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4D8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D34D85"/>
    <w:pPr>
      <w:spacing w:before="21"/>
      <w:ind w:left="1100"/>
      <w:outlineLvl w:val="0"/>
    </w:pPr>
    <w:rPr>
      <w:rFonts w:eastAsia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D34D85"/>
    <w:pPr>
      <w:spacing w:before="56"/>
      <w:ind w:left="1100"/>
      <w:outlineLvl w:val="2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34D85"/>
    <w:rPr>
      <w:rFonts w:ascii="Calibri" w:eastAsia="Times New Roman" w:hAnsi="Calibri" w:cs="Calibri"/>
      <w:b/>
      <w:b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D34D85"/>
    <w:rPr>
      <w:rFonts w:ascii="Calibri" w:eastAsia="Times New Roman" w:hAnsi="Calibri" w:cs="Calibri"/>
      <w:b/>
      <w:bCs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34D8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D34D85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34D85"/>
    <w:rPr>
      <w:rFonts w:ascii="Calibri" w:eastAsiaTheme="minorEastAsia" w:hAnsi="Calibri" w:cs="Calibri"/>
      <w:lang w:eastAsia="en-GB"/>
    </w:rPr>
  </w:style>
  <w:style w:type="paragraph" w:styleId="ListParagraph">
    <w:name w:val="List Paragraph"/>
    <w:basedOn w:val="Normal"/>
    <w:uiPriority w:val="1"/>
    <w:qFormat/>
    <w:rsid w:val="00D34D85"/>
    <w:pPr>
      <w:ind w:left="1820" w:hanging="360"/>
    </w:pPr>
  </w:style>
  <w:style w:type="paragraph" w:customStyle="1" w:styleId="TableParagraph">
    <w:name w:val="Table Paragraph"/>
    <w:basedOn w:val="Normal"/>
    <w:uiPriority w:val="1"/>
    <w:qFormat/>
    <w:rsid w:val="00D34D85"/>
    <w:pPr>
      <w:spacing w:before="76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Crown Prosecution Service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Kate</dc:creator>
  <cp:lastModifiedBy>Jones Steve</cp:lastModifiedBy>
  <cp:revision>2</cp:revision>
  <dcterms:created xsi:type="dcterms:W3CDTF">2019-01-23T10:56:00Z</dcterms:created>
  <dcterms:modified xsi:type="dcterms:W3CDTF">2019-01-23T10:56:00Z</dcterms:modified>
</cp:coreProperties>
</file>