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85" w:rsidRDefault="00D34D85" w:rsidP="00D34D85">
      <w:pPr>
        <w:pStyle w:val="Heading1"/>
        <w:kinsoku w:val="0"/>
        <w:overflowPunct w:val="0"/>
        <w:rPr>
          <w:rFonts w:eastAsiaTheme="minorEastAsia"/>
        </w:rPr>
      </w:pPr>
      <w:r>
        <w:rPr>
          <w:rFonts w:eastAsiaTheme="minorEastAsia"/>
          <w:u w:val="single" w:color="000000"/>
        </w:rPr>
        <w:t>ANNEX A</w:t>
      </w:r>
    </w:p>
    <w:p w:rsidR="00D34D85" w:rsidRDefault="00D34D85" w:rsidP="00D34D85">
      <w:pPr>
        <w:pStyle w:val="BodyText"/>
        <w:kinsoku w:val="0"/>
        <w:overflowPunct w:val="0"/>
        <w:spacing w:before="6"/>
        <w:rPr>
          <w:b/>
          <w:bCs/>
          <w:sz w:val="24"/>
          <w:szCs w:val="24"/>
        </w:rPr>
      </w:pPr>
    </w:p>
    <w:p w:rsidR="00D34D85" w:rsidRDefault="00D34D85" w:rsidP="00D34D85">
      <w:pPr>
        <w:pStyle w:val="Heading3"/>
        <w:kinsoku w:val="0"/>
        <w:overflowPunct w:val="0"/>
        <w:rPr>
          <w:rFonts w:eastAsiaTheme="minorEastAsia"/>
        </w:rPr>
      </w:pPr>
      <w:r>
        <w:rPr>
          <w:rFonts w:eastAsiaTheme="minorEastAsia"/>
        </w:rPr>
        <w:t>Specialist Fraud Division Referral Consideration</w:t>
      </w:r>
    </w:p>
    <w:p w:rsidR="00D34D85" w:rsidRDefault="00D34D85" w:rsidP="00D34D85">
      <w:pPr>
        <w:pStyle w:val="BodyText"/>
        <w:kinsoku w:val="0"/>
        <w:overflowPunct w:val="0"/>
        <w:spacing w:before="8"/>
        <w:rPr>
          <w:b/>
          <w:bCs/>
          <w:sz w:val="28"/>
          <w:szCs w:val="28"/>
        </w:rPr>
      </w:pPr>
    </w:p>
    <w:p w:rsidR="00D34D85" w:rsidRDefault="00D34D85" w:rsidP="00D34D85">
      <w:pPr>
        <w:pStyle w:val="BodyText"/>
        <w:kinsoku w:val="0"/>
        <w:overflowPunct w:val="0"/>
        <w:ind w:left="1100"/>
      </w:pPr>
      <w:r>
        <w:t>Cases falling into any of the following complex criteria should be referred to SFD.</w:t>
      </w:r>
    </w:p>
    <w:p w:rsidR="00D34D85" w:rsidRDefault="00D34D85" w:rsidP="00D34D85">
      <w:pPr>
        <w:pStyle w:val="BodyText"/>
        <w:kinsoku w:val="0"/>
        <w:overflowPunct w:val="0"/>
        <w:spacing w:before="6"/>
        <w:rPr>
          <w:sz w:val="28"/>
          <w:szCs w:val="28"/>
        </w:rPr>
      </w:pPr>
    </w:p>
    <w:p w:rsidR="00D34D85" w:rsidRDefault="00D34D85" w:rsidP="00D34D85">
      <w:pPr>
        <w:pStyle w:val="ListParagraph"/>
        <w:numPr>
          <w:ilvl w:val="2"/>
          <w:numId w:val="1"/>
        </w:numPr>
        <w:tabs>
          <w:tab w:val="left" w:pos="1821"/>
        </w:tabs>
        <w:kinsoku w:val="0"/>
        <w:overflowPunct w:val="0"/>
        <w:spacing w:line="276" w:lineRule="auto"/>
        <w:ind w:right="524"/>
        <w:rPr>
          <w:sz w:val="22"/>
          <w:szCs w:val="22"/>
        </w:rPr>
      </w:pPr>
      <w:r>
        <w:rPr>
          <w:sz w:val="22"/>
          <w:szCs w:val="22"/>
        </w:rPr>
        <w:t>Where a corporate entity could be investigated with a view to prosecution particularly if there is a question of a deferred prosecution</w:t>
      </w:r>
      <w:r>
        <w:rPr>
          <w:spacing w:val="-22"/>
          <w:sz w:val="22"/>
          <w:szCs w:val="22"/>
        </w:rPr>
        <w:t xml:space="preserve"> </w:t>
      </w:r>
      <w:r>
        <w:rPr>
          <w:sz w:val="22"/>
          <w:szCs w:val="22"/>
        </w:rPr>
        <w:t>agreement.</w:t>
      </w:r>
    </w:p>
    <w:p w:rsidR="00D34D85" w:rsidRDefault="00D34D85" w:rsidP="00D34D85">
      <w:pPr>
        <w:pStyle w:val="BodyText"/>
        <w:kinsoku w:val="0"/>
        <w:overflowPunct w:val="0"/>
        <w:spacing w:before="2"/>
        <w:rPr>
          <w:sz w:val="25"/>
          <w:szCs w:val="25"/>
        </w:rPr>
      </w:pPr>
    </w:p>
    <w:p w:rsidR="00D34D85" w:rsidRDefault="00D34D85" w:rsidP="00D34D85">
      <w:pPr>
        <w:pStyle w:val="ListParagraph"/>
        <w:numPr>
          <w:ilvl w:val="2"/>
          <w:numId w:val="1"/>
        </w:numPr>
        <w:tabs>
          <w:tab w:val="left" w:pos="1821"/>
        </w:tabs>
        <w:kinsoku w:val="0"/>
        <w:overflowPunct w:val="0"/>
        <w:spacing w:line="276" w:lineRule="auto"/>
        <w:ind w:right="197"/>
        <w:rPr>
          <w:sz w:val="22"/>
          <w:szCs w:val="22"/>
        </w:rPr>
      </w:pPr>
      <w:r>
        <w:rPr>
          <w:sz w:val="22"/>
          <w:szCs w:val="22"/>
        </w:rPr>
        <w:t>The criminality has the potential to undermine the UK economy or major financial interests. This includes the manipulation of financial or other international markets, or where the statutory or regulatory regime engaged by or linked to the misconduct is novel or complex. This could include economic crime where there has been insolvency (corporate or personal) and tax-related</w:t>
      </w:r>
      <w:r>
        <w:rPr>
          <w:spacing w:val="-17"/>
          <w:sz w:val="22"/>
          <w:szCs w:val="22"/>
        </w:rPr>
        <w:t xml:space="preserve"> </w:t>
      </w:r>
      <w:r>
        <w:rPr>
          <w:sz w:val="22"/>
          <w:szCs w:val="22"/>
        </w:rPr>
        <w:t>investigations.</w:t>
      </w:r>
    </w:p>
    <w:p w:rsidR="00D34D85" w:rsidRDefault="00D34D85" w:rsidP="00D34D85">
      <w:pPr>
        <w:pStyle w:val="BodyText"/>
        <w:kinsoku w:val="0"/>
        <w:overflowPunct w:val="0"/>
        <w:spacing w:before="2"/>
        <w:rPr>
          <w:sz w:val="25"/>
          <w:szCs w:val="25"/>
        </w:rPr>
      </w:pPr>
    </w:p>
    <w:p w:rsidR="00D34D85" w:rsidRDefault="00D34D85" w:rsidP="00D34D85">
      <w:pPr>
        <w:pStyle w:val="ListParagraph"/>
        <w:numPr>
          <w:ilvl w:val="2"/>
          <w:numId w:val="1"/>
        </w:numPr>
        <w:tabs>
          <w:tab w:val="left" w:pos="1821"/>
        </w:tabs>
        <w:kinsoku w:val="0"/>
        <w:overflowPunct w:val="0"/>
        <w:spacing w:line="276" w:lineRule="auto"/>
        <w:ind w:right="384"/>
        <w:rPr>
          <w:sz w:val="22"/>
          <w:szCs w:val="22"/>
        </w:rPr>
      </w:pPr>
      <w:r>
        <w:rPr>
          <w:sz w:val="22"/>
          <w:szCs w:val="22"/>
        </w:rPr>
        <w:t>The investigation includes a possible breach of fiduciary duty by any individual or group in which a high degree of trust has been placed. This could include lawyers, accountants, directors, trustees, doctors or senior public</w:t>
      </w:r>
      <w:r>
        <w:rPr>
          <w:spacing w:val="-22"/>
          <w:sz w:val="22"/>
          <w:szCs w:val="22"/>
        </w:rPr>
        <w:t xml:space="preserve"> </w:t>
      </w:r>
      <w:r>
        <w:rPr>
          <w:sz w:val="22"/>
          <w:szCs w:val="22"/>
        </w:rPr>
        <w:t>servants.</w:t>
      </w:r>
    </w:p>
    <w:p w:rsidR="00D34D85" w:rsidRDefault="00D34D85" w:rsidP="00D34D85">
      <w:pPr>
        <w:pStyle w:val="BodyText"/>
        <w:kinsoku w:val="0"/>
        <w:overflowPunct w:val="0"/>
        <w:spacing w:before="4"/>
        <w:rPr>
          <w:sz w:val="25"/>
          <w:szCs w:val="25"/>
        </w:rPr>
      </w:pPr>
    </w:p>
    <w:p w:rsidR="00D34D85" w:rsidRDefault="00D34D85" w:rsidP="00D34D85">
      <w:pPr>
        <w:pStyle w:val="ListParagraph"/>
        <w:numPr>
          <w:ilvl w:val="2"/>
          <w:numId w:val="1"/>
        </w:numPr>
        <w:tabs>
          <w:tab w:val="left" w:pos="1821"/>
        </w:tabs>
        <w:kinsoku w:val="0"/>
        <w:overflowPunct w:val="0"/>
        <w:spacing w:before="1" w:line="271" w:lineRule="auto"/>
        <w:ind w:right="590"/>
        <w:rPr>
          <w:sz w:val="22"/>
          <w:szCs w:val="22"/>
        </w:rPr>
      </w:pPr>
      <w:r>
        <w:rPr>
          <w:sz w:val="22"/>
          <w:szCs w:val="22"/>
        </w:rPr>
        <w:t>The allegation includes all possible bribery and/or corruption cases, including bribery of public officials or linked to publicly funded</w:t>
      </w:r>
      <w:r>
        <w:rPr>
          <w:spacing w:val="-19"/>
          <w:sz w:val="22"/>
          <w:szCs w:val="22"/>
        </w:rPr>
        <w:t xml:space="preserve"> </w:t>
      </w:r>
      <w:r>
        <w:rPr>
          <w:sz w:val="22"/>
          <w:szCs w:val="22"/>
        </w:rPr>
        <w:t>contracts.</w:t>
      </w:r>
    </w:p>
    <w:p w:rsidR="00D34D85" w:rsidRDefault="00D34D85" w:rsidP="00D34D85">
      <w:pPr>
        <w:pStyle w:val="BodyText"/>
        <w:kinsoku w:val="0"/>
        <w:overflowPunct w:val="0"/>
        <w:spacing w:before="8"/>
        <w:rPr>
          <w:sz w:val="25"/>
          <w:szCs w:val="25"/>
        </w:rPr>
      </w:pPr>
    </w:p>
    <w:p w:rsidR="00D34D85" w:rsidRDefault="00D34D85" w:rsidP="00D34D85">
      <w:pPr>
        <w:pStyle w:val="ListParagraph"/>
        <w:numPr>
          <w:ilvl w:val="2"/>
          <w:numId w:val="1"/>
        </w:numPr>
        <w:tabs>
          <w:tab w:val="left" w:pos="1821"/>
        </w:tabs>
        <w:kinsoku w:val="0"/>
        <w:overflowPunct w:val="0"/>
        <w:spacing w:line="271" w:lineRule="auto"/>
        <w:ind w:right="241"/>
        <w:rPr>
          <w:sz w:val="22"/>
          <w:szCs w:val="22"/>
        </w:rPr>
      </w:pPr>
      <w:r>
        <w:rPr>
          <w:sz w:val="22"/>
          <w:szCs w:val="22"/>
        </w:rPr>
        <w:t>The investigation includes individuals overseas or high profile foreign individuals, diplomats or</w:t>
      </w:r>
      <w:r>
        <w:rPr>
          <w:spacing w:val="-3"/>
          <w:sz w:val="22"/>
          <w:szCs w:val="22"/>
        </w:rPr>
        <w:t xml:space="preserve"> </w:t>
      </w:r>
      <w:r>
        <w:rPr>
          <w:sz w:val="22"/>
          <w:szCs w:val="22"/>
        </w:rPr>
        <w:t>corporates.</w:t>
      </w:r>
    </w:p>
    <w:p w:rsidR="00D34D85" w:rsidRDefault="00D34D85" w:rsidP="00D34D85">
      <w:pPr>
        <w:pStyle w:val="BodyText"/>
        <w:kinsoku w:val="0"/>
        <w:overflowPunct w:val="0"/>
        <w:spacing w:before="7"/>
        <w:rPr>
          <w:sz w:val="25"/>
          <w:szCs w:val="25"/>
        </w:rPr>
      </w:pPr>
    </w:p>
    <w:p w:rsidR="00D34D85" w:rsidRDefault="00D34D85" w:rsidP="00D34D85">
      <w:pPr>
        <w:pStyle w:val="ListParagraph"/>
        <w:numPr>
          <w:ilvl w:val="2"/>
          <w:numId w:val="1"/>
        </w:numPr>
        <w:tabs>
          <w:tab w:val="left" w:pos="1821"/>
        </w:tabs>
        <w:kinsoku w:val="0"/>
        <w:overflowPunct w:val="0"/>
        <w:spacing w:before="1" w:line="276" w:lineRule="auto"/>
        <w:ind w:right="230"/>
        <w:rPr>
          <w:sz w:val="22"/>
          <w:szCs w:val="22"/>
        </w:rPr>
      </w:pPr>
      <w:r>
        <w:rPr>
          <w:sz w:val="22"/>
          <w:szCs w:val="22"/>
        </w:rPr>
        <w:t>The investigation is classified by the investigator as organised crime including known organised crime groups and/or prominent individuals on a national or international scale or there are particular sensitivities around those</w:t>
      </w:r>
      <w:r>
        <w:rPr>
          <w:spacing w:val="-26"/>
          <w:sz w:val="22"/>
          <w:szCs w:val="22"/>
        </w:rPr>
        <w:t xml:space="preserve"> </w:t>
      </w:r>
      <w:r>
        <w:rPr>
          <w:sz w:val="22"/>
          <w:szCs w:val="22"/>
        </w:rPr>
        <w:t>suspected.</w:t>
      </w:r>
    </w:p>
    <w:p w:rsidR="00D34D85" w:rsidRDefault="00D34D85" w:rsidP="00D34D85">
      <w:pPr>
        <w:pStyle w:val="BodyText"/>
        <w:kinsoku w:val="0"/>
        <w:overflowPunct w:val="0"/>
        <w:spacing w:before="3"/>
        <w:rPr>
          <w:sz w:val="25"/>
          <w:szCs w:val="25"/>
        </w:rPr>
      </w:pPr>
    </w:p>
    <w:p w:rsidR="00D34D85" w:rsidRDefault="00D34D85" w:rsidP="00D34D85">
      <w:pPr>
        <w:pStyle w:val="ListParagraph"/>
        <w:numPr>
          <w:ilvl w:val="2"/>
          <w:numId w:val="1"/>
        </w:numPr>
        <w:tabs>
          <w:tab w:val="left" w:pos="1821"/>
        </w:tabs>
        <w:kinsoku w:val="0"/>
        <w:overflowPunct w:val="0"/>
        <w:spacing w:line="276" w:lineRule="auto"/>
        <w:ind w:right="176"/>
        <w:rPr>
          <w:sz w:val="22"/>
          <w:szCs w:val="22"/>
        </w:rPr>
      </w:pPr>
      <w:r>
        <w:rPr>
          <w:sz w:val="22"/>
          <w:szCs w:val="22"/>
        </w:rPr>
        <w:t xml:space="preserve">The actual or potential financial loss and/or economic harm </w:t>
      </w:r>
      <w:proofErr w:type="gramStart"/>
      <w:r>
        <w:rPr>
          <w:sz w:val="22"/>
          <w:szCs w:val="22"/>
        </w:rPr>
        <w:t>is</w:t>
      </w:r>
      <w:proofErr w:type="gramEnd"/>
      <w:r>
        <w:rPr>
          <w:sz w:val="22"/>
          <w:szCs w:val="22"/>
        </w:rPr>
        <w:t xml:space="preserve"> significant/high value or has a disproportionate impact on a vulnerable targeted group including those with protected characteristics and is on a national or international</w:t>
      </w:r>
      <w:r>
        <w:rPr>
          <w:spacing w:val="-28"/>
          <w:sz w:val="22"/>
          <w:szCs w:val="22"/>
        </w:rPr>
        <w:t xml:space="preserve"> </w:t>
      </w:r>
      <w:r>
        <w:rPr>
          <w:sz w:val="22"/>
          <w:szCs w:val="22"/>
        </w:rPr>
        <w:t>scale.</w:t>
      </w:r>
    </w:p>
    <w:p w:rsidR="00D34D85" w:rsidRDefault="00D34D85" w:rsidP="00D34D85">
      <w:pPr>
        <w:pStyle w:val="BodyText"/>
        <w:kinsoku w:val="0"/>
        <w:overflowPunct w:val="0"/>
        <w:spacing w:before="5"/>
        <w:rPr>
          <w:sz w:val="25"/>
          <w:szCs w:val="25"/>
        </w:rPr>
      </w:pPr>
    </w:p>
    <w:p w:rsidR="00D34D85" w:rsidRDefault="00D34D85" w:rsidP="00D34D85">
      <w:pPr>
        <w:pStyle w:val="ListParagraph"/>
        <w:numPr>
          <w:ilvl w:val="2"/>
          <w:numId w:val="1"/>
        </w:numPr>
        <w:tabs>
          <w:tab w:val="left" w:pos="1821"/>
        </w:tabs>
        <w:kinsoku w:val="0"/>
        <w:overflowPunct w:val="0"/>
        <w:spacing w:line="271" w:lineRule="auto"/>
        <w:ind w:right="114"/>
        <w:rPr>
          <w:sz w:val="22"/>
          <w:szCs w:val="22"/>
        </w:rPr>
      </w:pPr>
      <w:r>
        <w:rPr>
          <w:sz w:val="22"/>
          <w:szCs w:val="22"/>
        </w:rPr>
        <w:t>There is significant reputational risk to the UK Government or publicly funded body including the</w:t>
      </w:r>
      <w:r>
        <w:rPr>
          <w:spacing w:val="-1"/>
          <w:sz w:val="22"/>
          <w:szCs w:val="22"/>
        </w:rPr>
        <w:t xml:space="preserve"> </w:t>
      </w:r>
      <w:r>
        <w:rPr>
          <w:sz w:val="22"/>
          <w:szCs w:val="22"/>
        </w:rPr>
        <w:t>CPS.</w:t>
      </w:r>
    </w:p>
    <w:p w:rsidR="00D34D85" w:rsidRDefault="00D34D85" w:rsidP="00D34D85">
      <w:pPr>
        <w:pStyle w:val="BodyText"/>
        <w:kinsoku w:val="0"/>
        <w:overflowPunct w:val="0"/>
        <w:spacing w:before="7"/>
        <w:rPr>
          <w:sz w:val="25"/>
          <w:szCs w:val="25"/>
        </w:rPr>
      </w:pPr>
    </w:p>
    <w:p w:rsidR="00D34D85" w:rsidRDefault="00D34D85" w:rsidP="00D34D85">
      <w:pPr>
        <w:pStyle w:val="ListParagraph"/>
        <w:numPr>
          <w:ilvl w:val="2"/>
          <w:numId w:val="1"/>
        </w:numPr>
        <w:tabs>
          <w:tab w:val="left" w:pos="1821"/>
        </w:tabs>
        <w:kinsoku w:val="0"/>
        <w:overflowPunct w:val="0"/>
        <w:spacing w:before="1" w:line="271" w:lineRule="auto"/>
        <w:ind w:right="321"/>
        <w:rPr>
          <w:sz w:val="22"/>
          <w:szCs w:val="22"/>
        </w:rPr>
      </w:pPr>
      <w:r>
        <w:rPr>
          <w:sz w:val="22"/>
          <w:szCs w:val="22"/>
        </w:rPr>
        <w:t>The investigation has or could be sub-contracted (in whole or part) to private investigators or legal</w:t>
      </w:r>
      <w:r>
        <w:rPr>
          <w:spacing w:val="-9"/>
          <w:sz w:val="22"/>
          <w:szCs w:val="22"/>
        </w:rPr>
        <w:t xml:space="preserve"> </w:t>
      </w:r>
      <w:r>
        <w:rPr>
          <w:sz w:val="22"/>
          <w:szCs w:val="22"/>
        </w:rPr>
        <w:t>representatives.</w:t>
      </w:r>
    </w:p>
    <w:p w:rsidR="00D34D85" w:rsidRDefault="00D34D85" w:rsidP="00D34D85">
      <w:pPr>
        <w:pStyle w:val="BodyText"/>
        <w:kinsoku w:val="0"/>
        <w:overflowPunct w:val="0"/>
        <w:spacing w:before="8"/>
        <w:rPr>
          <w:sz w:val="25"/>
          <w:szCs w:val="25"/>
        </w:rPr>
      </w:pPr>
    </w:p>
    <w:p w:rsidR="00D34D85" w:rsidRDefault="00D34D85" w:rsidP="00D34D85">
      <w:pPr>
        <w:pStyle w:val="ListParagraph"/>
        <w:numPr>
          <w:ilvl w:val="2"/>
          <w:numId w:val="1"/>
        </w:numPr>
        <w:tabs>
          <w:tab w:val="left" w:pos="1821"/>
        </w:tabs>
        <w:kinsoku w:val="0"/>
        <w:overflowPunct w:val="0"/>
        <w:spacing w:line="276" w:lineRule="auto"/>
        <w:ind w:right="134"/>
        <w:rPr>
          <w:sz w:val="22"/>
          <w:szCs w:val="22"/>
        </w:rPr>
      </w:pPr>
      <w:r>
        <w:rPr>
          <w:sz w:val="22"/>
          <w:szCs w:val="22"/>
        </w:rPr>
        <w:t>Extensive pre-charge investigative advice is required including the use of compulsory powers, parallel regulatory investigations or proceedings, disclosure notices, immunities and undertakings.</w:t>
      </w:r>
    </w:p>
    <w:p w:rsidR="00D34D85" w:rsidRDefault="00D34D85" w:rsidP="00D34D85">
      <w:pPr>
        <w:widowControl/>
        <w:autoSpaceDE/>
        <w:autoSpaceDN/>
        <w:adjustRightInd/>
        <w:spacing w:line="276" w:lineRule="auto"/>
        <w:rPr>
          <w:sz w:val="22"/>
          <w:szCs w:val="22"/>
        </w:rPr>
        <w:sectPr w:rsidR="00D34D85">
          <w:pgSz w:w="11910" w:h="16840"/>
          <w:pgMar w:top="1400" w:right="1340" w:bottom="1140" w:left="340" w:header="0" w:footer="957" w:gutter="0"/>
          <w:pgNumType w:start="11"/>
          <w:cols w:space="720"/>
        </w:sectPr>
      </w:pPr>
    </w:p>
    <w:p w:rsidR="00D34D85" w:rsidRDefault="00D34D85" w:rsidP="00D34D85">
      <w:pPr>
        <w:pStyle w:val="ListParagraph"/>
        <w:numPr>
          <w:ilvl w:val="2"/>
          <w:numId w:val="1"/>
        </w:numPr>
        <w:tabs>
          <w:tab w:val="left" w:pos="1821"/>
        </w:tabs>
        <w:kinsoku w:val="0"/>
        <w:overflowPunct w:val="0"/>
        <w:spacing w:before="79" w:line="276" w:lineRule="auto"/>
        <w:ind w:right="155" w:hanging="360"/>
        <w:rPr>
          <w:sz w:val="22"/>
          <w:szCs w:val="22"/>
        </w:rPr>
      </w:pPr>
      <w:r>
        <w:rPr>
          <w:sz w:val="22"/>
          <w:szCs w:val="22"/>
        </w:rPr>
        <w:lastRenderedPageBreak/>
        <w:t>The investigation includes challenging international aspects, including the creation of a joint investigation team and/or overlapping</w:t>
      </w:r>
      <w:r>
        <w:rPr>
          <w:spacing w:val="-22"/>
          <w:sz w:val="22"/>
          <w:szCs w:val="22"/>
        </w:rPr>
        <w:t xml:space="preserve"> </w:t>
      </w:r>
      <w:r>
        <w:rPr>
          <w:sz w:val="22"/>
          <w:szCs w:val="22"/>
        </w:rPr>
        <w:t>jurisdictions.</w:t>
      </w:r>
    </w:p>
    <w:p w:rsidR="00D34D85" w:rsidRDefault="00D34D85" w:rsidP="00D34D85">
      <w:pPr>
        <w:pStyle w:val="BodyText"/>
        <w:kinsoku w:val="0"/>
        <w:overflowPunct w:val="0"/>
        <w:spacing w:before="3"/>
        <w:rPr>
          <w:sz w:val="25"/>
          <w:szCs w:val="25"/>
        </w:rPr>
      </w:pPr>
    </w:p>
    <w:p w:rsidR="00D34D85" w:rsidRDefault="00D34D85" w:rsidP="00D34D85">
      <w:pPr>
        <w:pStyle w:val="ListParagraph"/>
        <w:numPr>
          <w:ilvl w:val="2"/>
          <w:numId w:val="1"/>
        </w:numPr>
        <w:tabs>
          <w:tab w:val="left" w:pos="1821"/>
        </w:tabs>
        <w:kinsoku w:val="0"/>
        <w:overflowPunct w:val="0"/>
        <w:spacing w:line="271" w:lineRule="auto"/>
        <w:ind w:left="1819" w:right="509" w:hanging="359"/>
        <w:rPr>
          <w:sz w:val="22"/>
          <w:szCs w:val="22"/>
        </w:rPr>
      </w:pPr>
      <w:r>
        <w:rPr>
          <w:sz w:val="22"/>
          <w:szCs w:val="22"/>
        </w:rPr>
        <w:t>The investigation includes national or international Non-Governmental Organisations or charities.</w:t>
      </w:r>
    </w:p>
    <w:p w:rsidR="00D34D85" w:rsidRDefault="00D34D85" w:rsidP="00D34D85">
      <w:pPr>
        <w:pStyle w:val="BodyText"/>
        <w:kinsoku w:val="0"/>
        <w:overflowPunct w:val="0"/>
        <w:spacing w:before="7"/>
        <w:rPr>
          <w:sz w:val="25"/>
          <w:szCs w:val="25"/>
        </w:rPr>
      </w:pPr>
    </w:p>
    <w:p w:rsidR="00D34D85" w:rsidRDefault="00D34D85" w:rsidP="00D34D85">
      <w:pPr>
        <w:pStyle w:val="ListParagraph"/>
        <w:numPr>
          <w:ilvl w:val="2"/>
          <w:numId w:val="1"/>
        </w:numPr>
        <w:tabs>
          <w:tab w:val="left" w:pos="1820"/>
        </w:tabs>
        <w:kinsoku w:val="0"/>
        <w:overflowPunct w:val="0"/>
        <w:spacing w:before="1" w:line="276" w:lineRule="auto"/>
        <w:ind w:left="1819" w:right="217" w:hanging="360"/>
        <w:rPr>
          <w:sz w:val="22"/>
          <w:szCs w:val="22"/>
        </w:rPr>
      </w:pPr>
      <w:r>
        <w:rPr>
          <w:sz w:val="22"/>
          <w:szCs w:val="22"/>
        </w:rPr>
        <w:t>It could be appropriate to hold a Prosecutors Convention meeting. This will arise where the investigation involves more than one Government department, regulator, and/or investigator.</w:t>
      </w:r>
    </w:p>
    <w:p w:rsidR="00D34D85" w:rsidRDefault="00D34D85" w:rsidP="00D34D85">
      <w:pPr>
        <w:pStyle w:val="BodyText"/>
        <w:kinsoku w:val="0"/>
        <w:overflowPunct w:val="0"/>
        <w:spacing w:before="3"/>
        <w:rPr>
          <w:sz w:val="25"/>
          <w:szCs w:val="25"/>
        </w:rPr>
      </w:pPr>
    </w:p>
    <w:p w:rsidR="00D34D85" w:rsidRDefault="00D34D85" w:rsidP="00D34D85">
      <w:pPr>
        <w:pStyle w:val="ListParagraph"/>
        <w:numPr>
          <w:ilvl w:val="2"/>
          <w:numId w:val="1"/>
        </w:numPr>
        <w:tabs>
          <w:tab w:val="left" w:pos="1821"/>
        </w:tabs>
        <w:kinsoku w:val="0"/>
        <w:overflowPunct w:val="0"/>
        <w:spacing w:line="276" w:lineRule="auto"/>
        <w:ind w:right="954" w:hanging="360"/>
        <w:rPr>
          <w:sz w:val="22"/>
          <w:szCs w:val="22"/>
        </w:rPr>
      </w:pPr>
      <w:r>
        <w:rPr>
          <w:sz w:val="22"/>
          <w:szCs w:val="22"/>
        </w:rPr>
        <w:t>The investigation is industry funded, or there is any reason to believe there may be accusations of conflict of</w:t>
      </w:r>
      <w:r>
        <w:rPr>
          <w:spacing w:val="-15"/>
          <w:sz w:val="22"/>
          <w:szCs w:val="22"/>
        </w:rPr>
        <w:t xml:space="preserve"> </w:t>
      </w:r>
      <w:r>
        <w:rPr>
          <w:sz w:val="22"/>
          <w:szCs w:val="22"/>
        </w:rPr>
        <w:t>interest.</w:t>
      </w:r>
    </w:p>
    <w:p w:rsidR="00D34D85" w:rsidRDefault="00D34D85" w:rsidP="00D34D85">
      <w:pPr>
        <w:pStyle w:val="BodyText"/>
        <w:kinsoku w:val="0"/>
        <w:overflowPunct w:val="0"/>
        <w:spacing w:before="2"/>
        <w:rPr>
          <w:sz w:val="25"/>
          <w:szCs w:val="25"/>
        </w:rPr>
      </w:pPr>
    </w:p>
    <w:p w:rsidR="00D34D85" w:rsidRDefault="00D34D85" w:rsidP="00D34D85">
      <w:pPr>
        <w:pStyle w:val="ListParagraph"/>
        <w:numPr>
          <w:ilvl w:val="2"/>
          <w:numId w:val="1"/>
        </w:numPr>
        <w:tabs>
          <w:tab w:val="left" w:pos="1821"/>
        </w:tabs>
        <w:kinsoku w:val="0"/>
        <w:overflowPunct w:val="0"/>
        <w:spacing w:before="1"/>
        <w:ind w:hanging="360"/>
        <w:rPr>
          <w:sz w:val="22"/>
          <w:szCs w:val="22"/>
        </w:rPr>
      </w:pPr>
      <w:r>
        <w:rPr>
          <w:sz w:val="22"/>
          <w:szCs w:val="22"/>
        </w:rPr>
        <w:t>All intellectual property</w:t>
      </w:r>
      <w:r>
        <w:rPr>
          <w:spacing w:val="-18"/>
          <w:sz w:val="22"/>
          <w:szCs w:val="22"/>
        </w:rPr>
        <w:t xml:space="preserve"> </w:t>
      </w:r>
      <w:r>
        <w:rPr>
          <w:sz w:val="22"/>
          <w:szCs w:val="22"/>
        </w:rPr>
        <w:t>investigations.</w:t>
      </w:r>
    </w:p>
    <w:p w:rsidR="00D34D85" w:rsidRDefault="00D34D85" w:rsidP="00D34D85">
      <w:pPr>
        <w:pStyle w:val="BodyText"/>
        <w:kinsoku w:val="0"/>
        <w:overflowPunct w:val="0"/>
        <w:spacing w:before="9"/>
        <w:rPr>
          <w:sz w:val="28"/>
          <w:szCs w:val="28"/>
        </w:rPr>
      </w:pPr>
    </w:p>
    <w:p w:rsidR="00D34D85" w:rsidRDefault="00D34D85" w:rsidP="00D34D85">
      <w:pPr>
        <w:pStyle w:val="ListParagraph"/>
        <w:numPr>
          <w:ilvl w:val="2"/>
          <w:numId w:val="1"/>
        </w:numPr>
        <w:tabs>
          <w:tab w:val="left" w:pos="1821"/>
        </w:tabs>
        <w:kinsoku w:val="0"/>
        <w:overflowPunct w:val="0"/>
        <w:spacing w:line="271" w:lineRule="auto"/>
        <w:ind w:right="367" w:hanging="360"/>
        <w:rPr>
          <w:sz w:val="22"/>
          <w:szCs w:val="22"/>
        </w:rPr>
      </w:pPr>
      <w:r>
        <w:rPr>
          <w:sz w:val="22"/>
          <w:szCs w:val="22"/>
        </w:rPr>
        <w:t>Cases in which, because of widespread public concern or the unusual methodology of the fraud, a co-ordinating and/or standard setting role is</w:t>
      </w:r>
      <w:r>
        <w:rPr>
          <w:spacing w:val="-25"/>
          <w:sz w:val="22"/>
          <w:szCs w:val="22"/>
        </w:rPr>
        <w:t xml:space="preserve"> </w:t>
      </w:r>
      <w:r>
        <w:rPr>
          <w:sz w:val="22"/>
          <w:szCs w:val="22"/>
        </w:rPr>
        <w:t>needed.</w:t>
      </w:r>
    </w:p>
    <w:p w:rsidR="00D34D85" w:rsidRDefault="00D34D85" w:rsidP="00D34D85">
      <w:pPr>
        <w:pStyle w:val="BodyText"/>
        <w:kinsoku w:val="0"/>
        <w:overflowPunct w:val="0"/>
        <w:spacing w:before="7"/>
        <w:rPr>
          <w:sz w:val="25"/>
          <w:szCs w:val="25"/>
        </w:rPr>
      </w:pPr>
    </w:p>
    <w:p w:rsidR="00D34D85" w:rsidRDefault="00D34D85" w:rsidP="00D34D85">
      <w:pPr>
        <w:pStyle w:val="ListParagraph"/>
        <w:numPr>
          <w:ilvl w:val="2"/>
          <w:numId w:val="1"/>
        </w:numPr>
        <w:tabs>
          <w:tab w:val="left" w:pos="1821"/>
        </w:tabs>
        <w:kinsoku w:val="0"/>
        <w:overflowPunct w:val="0"/>
        <w:spacing w:before="1" w:line="276" w:lineRule="auto"/>
        <w:ind w:right="115" w:hanging="360"/>
        <w:rPr>
          <w:sz w:val="22"/>
          <w:szCs w:val="22"/>
        </w:rPr>
      </w:pPr>
      <w:r>
        <w:rPr>
          <w:sz w:val="22"/>
          <w:szCs w:val="22"/>
        </w:rPr>
        <w:t>Specialised knowledge is needed, involving for example, Stock Exchange practices, Regulatory bodies, complex banking issues, shipping law, onshore and offshore trusts, tax or excise fraud or computer misuse in perpetrating the</w:t>
      </w:r>
      <w:r>
        <w:rPr>
          <w:spacing w:val="-25"/>
          <w:sz w:val="22"/>
          <w:szCs w:val="22"/>
        </w:rPr>
        <w:t xml:space="preserve"> </w:t>
      </w:r>
      <w:r>
        <w:rPr>
          <w:sz w:val="22"/>
          <w:szCs w:val="22"/>
        </w:rPr>
        <w:t>fraud.</w:t>
      </w:r>
    </w:p>
    <w:p w:rsidR="00D34D85" w:rsidRDefault="00D34D85" w:rsidP="00D34D85">
      <w:pPr>
        <w:pStyle w:val="BodyText"/>
        <w:kinsoku w:val="0"/>
        <w:overflowPunct w:val="0"/>
        <w:spacing w:before="3"/>
        <w:rPr>
          <w:sz w:val="25"/>
          <w:szCs w:val="25"/>
        </w:rPr>
      </w:pPr>
    </w:p>
    <w:p w:rsidR="00D34D85" w:rsidRDefault="00D34D85" w:rsidP="00D34D85">
      <w:pPr>
        <w:pStyle w:val="ListParagraph"/>
        <w:numPr>
          <w:ilvl w:val="2"/>
          <w:numId w:val="1"/>
        </w:numPr>
        <w:tabs>
          <w:tab w:val="left" w:pos="1821"/>
        </w:tabs>
        <w:kinsoku w:val="0"/>
        <w:overflowPunct w:val="0"/>
        <w:ind w:hanging="360"/>
        <w:rPr>
          <w:sz w:val="22"/>
          <w:szCs w:val="22"/>
        </w:rPr>
      </w:pPr>
      <w:r>
        <w:rPr>
          <w:sz w:val="22"/>
          <w:szCs w:val="22"/>
        </w:rPr>
        <w:t>All</w:t>
      </w:r>
      <w:r>
        <w:rPr>
          <w:spacing w:val="-4"/>
          <w:sz w:val="22"/>
          <w:szCs w:val="22"/>
        </w:rPr>
        <w:t xml:space="preserve"> </w:t>
      </w:r>
      <w:r>
        <w:rPr>
          <w:sz w:val="22"/>
          <w:szCs w:val="22"/>
        </w:rPr>
        <w:t>cases</w:t>
      </w:r>
      <w:r>
        <w:rPr>
          <w:spacing w:val="-4"/>
          <w:sz w:val="22"/>
          <w:szCs w:val="22"/>
        </w:rPr>
        <w:t xml:space="preserve"> </w:t>
      </w:r>
      <w:r>
        <w:rPr>
          <w:sz w:val="22"/>
          <w:szCs w:val="22"/>
        </w:rPr>
        <w:t>involving</w:t>
      </w:r>
      <w:r>
        <w:rPr>
          <w:spacing w:val="-7"/>
          <w:sz w:val="22"/>
          <w:szCs w:val="22"/>
        </w:rPr>
        <w:t xml:space="preserve"> </w:t>
      </w:r>
      <w:r>
        <w:rPr>
          <w:sz w:val="22"/>
          <w:szCs w:val="22"/>
        </w:rPr>
        <w:t>offshore,</w:t>
      </w:r>
      <w:r>
        <w:rPr>
          <w:spacing w:val="-4"/>
          <w:sz w:val="22"/>
          <w:szCs w:val="22"/>
        </w:rPr>
        <w:t xml:space="preserve"> </w:t>
      </w:r>
      <w:r>
        <w:rPr>
          <w:sz w:val="22"/>
          <w:szCs w:val="22"/>
        </w:rPr>
        <w:t>corporate</w:t>
      </w:r>
      <w:r>
        <w:rPr>
          <w:spacing w:val="-3"/>
          <w:sz w:val="22"/>
          <w:szCs w:val="22"/>
        </w:rPr>
        <w:t xml:space="preserve"> </w:t>
      </w:r>
      <w:r>
        <w:rPr>
          <w:sz w:val="22"/>
          <w:szCs w:val="22"/>
        </w:rPr>
        <w:t>and</w:t>
      </w:r>
      <w:r>
        <w:rPr>
          <w:spacing w:val="-5"/>
          <w:sz w:val="22"/>
          <w:szCs w:val="22"/>
        </w:rPr>
        <w:t xml:space="preserve"> </w:t>
      </w:r>
      <w:r>
        <w:rPr>
          <w:sz w:val="22"/>
          <w:szCs w:val="22"/>
        </w:rPr>
        <w:t>wealth</w:t>
      </w:r>
      <w:r>
        <w:rPr>
          <w:spacing w:val="-5"/>
          <w:sz w:val="22"/>
          <w:szCs w:val="22"/>
        </w:rPr>
        <w:t xml:space="preserve"> </w:t>
      </w:r>
      <w:r>
        <w:rPr>
          <w:sz w:val="22"/>
          <w:szCs w:val="22"/>
        </w:rPr>
        <w:t>fraud,</w:t>
      </w:r>
      <w:r>
        <w:rPr>
          <w:spacing w:val="-4"/>
          <w:sz w:val="22"/>
          <w:szCs w:val="22"/>
        </w:rPr>
        <w:t xml:space="preserve"> </w:t>
      </w:r>
      <w:r>
        <w:rPr>
          <w:sz w:val="22"/>
          <w:szCs w:val="22"/>
        </w:rPr>
        <w:t>and</w:t>
      </w:r>
      <w:r>
        <w:rPr>
          <w:spacing w:val="-5"/>
          <w:sz w:val="22"/>
          <w:szCs w:val="22"/>
        </w:rPr>
        <w:t xml:space="preserve"> </w:t>
      </w:r>
      <w:r>
        <w:rPr>
          <w:sz w:val="22"/>
          <w:szCs w:val="22"/>
        </w:rPr>
        <w:t>overseas</w:t>
      </w:r>
      <w:r>
        <w:rPr>
          <w:spacing w:val="-4"/>
          <w:sz w:val="22"/>
          <w:szCs w:val="22"/>
        </w:rPr>
        <w:t xml:space="preserve"> </w:t>
      </w:r>
      <w:r>
        <w:rPr>
          <w:sz w:val="22"/>
          <w:szCs w:val="22"/>
        </w:rPr>
        <w:t>corruption.</w:t>
      </w:r>
    </w:p>
    <w:p w:rsidR="00D34D85" w:rsidRDefault="00D34D85" w:rsidP="00D34D85">
      <w:pPr>
        <w:pStyle w:val="BodyText"/>
        <w:kinsoku w:val="0"/>
        <w:overflowPunct w:val="0"/>
        <w:spacing w:before="6"/>
        <w:rPr>
          <w:sz w:val="28"/>
          <w:szCs w:val="28"/>
        </w:rPr>
      </w:pPr>
    </w:p>
    <w:p w:rsidR="00D34D85" w:rsidRDefault="00D34D85" w:rsidP="00D34D85">
      <w:pPr>
        <w:pStyle w:val="ListParagraph"/>
        <w:numPr>
          <w:ilvl w:val="2"/>
          <w:numId w:val="1"/>
        </w:numPr>
        <w:tabs>
          <w:tab w:val="left" w:pos="1821"/>
        </w:tabs>
        <w:kinsoku w:val="0"/>
        <w:overflowPunct w:val="0"/>
        <w:spacing w:line="276" w:lineRule="auto"/>
        <w:ind w:right="151" w:hanging="360"/>
        <w:rPr>
          <w:sz w:val="22"/>
          <w:szCs w:val="22"/>
        </w:rPr>
      </w:pPr>
      <w:r>
        <w:rPr>
          <w:sz w:val="22"/>
          <w:szCs w:val="22"/>
        </w:rPr>
        <w:t>Where there is a requirement for the prosecutor to have unlimited access and ownership to Secret or Top Secret</w:t>
      </w:r>
      <w:r>
        <w:rPr>
          <w:spacing w:val="-13"/>
          <w:sz w:val="22"/>
          <w:szCs w:val="22"/>
        </w:rPr>
        <w:t xml:space="preserve"> </w:t>
      </w:r>
      <w:r>
        <w:rPr>
          <w:sz w:val="22"/>
          <w:szCs w:val="22"/>
        </w:rPr>
        <w:t>material.</w:t>
      </w:r>
    </w:p>
    <w:p w:rsidR="00D34D85" w:rsidRDefault="00D34D85" w:rsidP="00D34D85">
      <w:pPr>
        <w:pStyle w:val="BodyText"/>
        <w:kinsoku w:val="0"/>
        <w:overflowPunct w:val="0"/>
        <w:spacing w:before="2"/>
        <w:rPr>
          <w:sz w:val="25"/>
          <w:szCs w:val="25"/>
        </w:rPr>
      </w:pPr>
    </w:p>
    <w:p w:rsidR="00D34D85" w:rsidRDefault="00D34D85" w:rsidP="00D34D85">
      <w:pPr>
        <w:pStyle w:val="ListParagraph"/>
        <w:numPr>
          <w:ilvl w:val="2"/>
          <w:numId w:val="1"/>
        </w:numPr>
        <w:tabs>
          <w:tab w:val="left" w:pos="1821"/>
        </w:tabs>
        <w:kinsoku w:val="0"/>
        <w:overflowPunct w:val="0"/>
        <w:spacing w:line="276" w:lineRule="auto"/>
        <w:ind w:right="246" w:hanging="360"/>
        <w:rPr>
          <w:sz w:val="22"/>
          <w:szCs w:val="22"/>
        </w:rPr>
      </w:pPr>
      <w:r>
        <w:rPr>
          <w:sz w:val="22"/>
          <w:szCs w:val="22"/>
        </w:rPr>
        <w:t>Complex disclosure issues which include linked cases and cases that involve more than one Government Agency/investigation</w:t>
      </w:r>
      <w:r>
        <w:rPr>
          <w:spacing w:val="-16"/>
          <w:sz w:val="22"/>
          <w:szCs w:val="22"/>
        </w:rPr>
        <w:t xml:space="preserve"> </w:t>
      </w:r>
      <w:r>
        <w:rPr>
          <w:sz w:val="22"/>
          <w:szCs w:val="22"/>
        </w:rPr>
        <w:t>body.</w:t>
      </w:r>
    </w:p>
    <w:p w:rsidR="00D34D85" w:rsidRDefault="00D34D85" w:rsidP="00D34D85">
      <w:pPr>
        <w:pStyle w:val="BodyText"/>
        <w:kinsoku w:val="0"/>
        <w:overflowPunct w:val="0"/>
        <w:spacing w:before="2"/>
        <w:rPr>
          <w:sz w:val="25"/>
          <w:szCs w:val="25"/>
        </w:rPr>
      </w:pPr>
      <w:bookmarkStart w:id="0" w:name="_GoBack"/>
      <w:bookmarkEnd w:id="0"/>
    </w:p>
    <w:sectPr w:rsidR="00D34D85" w:rsidSect="00EA4447">
      <w:pgSz w:w="11910" w:h="16840"/>
      <w:pgMar w:top="1380" w:right="1340" w:bottom="1140" w:left="340" w:header="0" w:footer="95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left="1527" w:hanging="428"/>
      </w:pPr>
      <w:rPr>
        <w:rFonts w:ascii="Calibri" w:hAnsi="Calibri" w:cs="Calibri"/>
        <w:b/>
        <w:bCs/>
        <w:spacing w:val="-2"/>
        <w:w w:val="100"/>
        <w:sz w:val="24"/>
        <w:szCs w:val="24"/>
      </w:rPr>
    </w:lvl>
    <w:lvl w:ilvl="1">
      <w:start w:val="1"/>
      <w:numFmt w:val="decimal"/>
      <w:lvlText w:val="%1.%2"/>
      <w:lvlJc w:val="left"/>
      <w:pPr>
        <w:ind w:left="1807" w:hanging="709"/>
      </w:pPr>
      <w:rPr>
        <w:rFonts w:ascii="Calibri" w:hAnsi="Calibri" w:cs="Calibri"/>
        <w:b w:val="0"/>
        <w:bCs w:val="0"/>
        <w:spacing w:val="-1"/>
        <w:w w:val="100"/>
        <w:sz w:val="22"/>
        <w:szCs w:val="22"/>
      </w:rPr>
    </w:lvl>
    <w:lvl w:ilvl="2">
      <w:numFmt w:val="bullet"/>
      <w:lvlText w:val=""/>
      <w:lvlJc w:val="left"/>
      <w:pPr>
        <w:ind w:left="1820" w:hanging="361"/>
      </w:pPr>
      <w:rPr>
        <w:rFonts w:ascii="Symbol" w:hAnsi="Symbol"/>
        <w:b w:val="0"/>
        <w:w w:val="100"/>
        <w:sz w:val="22"/>
      </w:rPr>
    </w:lvl>
    <w:lvl w:ilvl="3">
      <w:numFmt w:val="bullet"/>
      <w:lvlText w:val="o"/>
      <w:lvlJc w:val="left"/>
      <w:pPr>
        <w:ind w:left="2540" w:hanging="361"/>
      </w:pPr>
      <w:rPr>
        <w:rFonts w:ascii="Courier New" w:hAnsi="Courier New"/>
        <w:b w:val="0"/>
        <w:w w:val="100"/>
        <w:sz w:val="22"/>
      </w:rPr>
    </w:lvl>
    <w:lvl w:ilvl="4">
      <w:numFmt w:val="bullet"/>
      <w:lvlText w:val="•"/>
      <w:lvlJc w:val="left"/>
      <w:pPr>
        <w:ind w:left="3632" w:hanging="361"/>
      </w:pPr>
    </w:lvl>
    <w:lvl w:ilvl="5">
      <w:numFmt w:val="bullet"/>
      <w:lvlText w:val="•"/>
      <w:lvlJc w:val="left"/>
      <w:pPr>
        <w:ind w:left="4724" w:hanging="361"/>
      </w:pPr>
    </w:lvl>
    <w:lvl w:ilvl="6">
      <w:numFmt w:val="bullet"/>
      <w:lvlText w:val="•"/>
      <w:lvlJc w:val="left"/>
      <w:pPr>
        <w:ind w:left="5817" w:hanging="361"/>
      </w:pPr>
    </w:lvl>
    <w:lvl w:ilvl="7">
      <w:numFmt w:val="bullet"/>
      <w:lvlText w:val="•"/>
      <w:lvlJc w:val="left"/>
      <w:pPr>
        <w:ind w:left="6909" w:hanging="361"/>
      </w:pPr>
    </w:lvl>
    <w:lvl w:ilvl="8">
      <w:numFmt w:val="bullet"/>
      <w:lvlText w:val="•"/>
      <w:lvlJc w:val="left"/>
      <w:pPr>
        <w:ind w:left="8001" w:hanging="361"/>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85"/>
    <w:rsid w:val="009619D8"/>
    <w:rsid w:val="00D34D85"/>
    <w:rsid w:val="00EA4447"/>
    <w:rsid w:val="00EA5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D85"/>
    <w:pPr>
      <w:widowControl w:val="0"/>
      <w:autoSpaceDE w:val="0"/>
      <w:autoSpaceDN w:val="0"/>
      <w:adjustRightInd w:val="0"/>
    </w:pPr>
    <w:rPr>
      <w:rFonts w:ascii="Calibri" w:eastAsiaTheme="minorEastAsia" w:hAnsi="Calibri" w:cs="Calibri"/>
      <w:sz w:val="24"/>
      <w:szCs w:val="24"/>
      <w:lang w:eastAsia="en-GB"/>
    </w:rPr>
  </w:style>
  <w:style w:type="paragraph" w:styleId="Heading1">
    <w:name w:val="heading 1"/>
    <w:basedOn w:val="Normal"/>
    <w:next w:val="Normal"/>
    <w:link w:val="Heading1Char"/>
    <w:uiPriority w:val="1"/>
    <w:qFormat/>
    <w:rsid w:val="00D34D85"/>
    <w:pPr>
      <w:spacing w:before="21"/>
      <w:ind w:left="1100"/>
      <w:outlineLvl w:val="0"/>
    </w:pPr>
    <w:rPr>
      <w:rFonts w:eastAsia="Times New Roman"/>
      <w:b/>
      <w:bCs/>
      <w:sz w:val="28"/>
      <w:szCs w:val="28"/>
    </w:rPr>
  </w:style>
  <w:style w:type="paragraph" w:styleId="Heading3">
    <w:name w:val="heading 3"/>
    <w:basedOn w:val="Normal"/>
    <w:next w:val="Normal"/>
    <w:link w:val="Heading3Char"/>
    <w:uiPriority w:val="1"/>
    <w:semiHidden/>
    <w:unhideWhenUsed/>
    <w:qFormat/>
    <w:rsid w:val="00D34D85"/>
    <w:pPr>
      <w:spacing w:before="56"/>
      <w:ind w:left="1100"/>
      <w:outlineLvl w:val="2"/>
    </w:pPr>
    <w:rPr>
      <w:rFonts w:eastAsia="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4D85"/>
    <w:rPr>
      <w:rFonts w:ascii="Calibri" w:eastAsia="Times New Roman" w:hAnsi="Calibri" w:cs="Calibri"/>
      <w:b/>
      <w:bCs/>
      <w:sz w:val="28"/>
      <w:szCs w:val="28"/>
      <w:lang w:eastAsia="en-GB"/>
    </w:rPr>
  </w:style>
  <w:style w:type="character" w:customStyle="1" w:styleId="Heading3Char">
    <w:name w:val="Heading 3 Char"/>
    <w:basedOn w:val="DefaultParagraphFont"/>
    <w:link w:val="Heading3"/>
    <w:uiPriority w:val="1"/>
    <w:semiHidden/>
    <w:rsid w:val="00D34D85"/>
    <w:rPr>
      <w:rFonts w:ascii="Calibri" w:eastAsia="Times New Roman" w:hAnsi="Calibri" w:cs="Calibri"/>
      <w:b/>
      <w:bCs/>
      <w:lang w:eastAsia="en-GB"/>
    </w:rPr>
  </w:style>
  <w:style w:type="character" w:styleId="Hyperlink">
    <w:name w:val="Hyperlink"/>
    <w:basedOn w:val="DefaultParagraphFont"/>
    <w:uiPriority w:val="99"/>
    <w:semiHidden/>
    <w:unhideWhenUsed/>
    <w:rsid w:val="00D34D85"/>
    <w:rPr>
      <w:color w:val="0000FF" w:themeColor="hyperlink"/>
      <w:u w:val="single"/>
    </w:rPr>
  </w:style>
  <w:style w:type="paragraph" w:styleId="BodyText">
    <w:name w:val="Body Text"/>
    <w:basedOn w:val="Normal"/>
    <w:link w:val="BodyTextChar"/>
    <w:uiPriority w:val="1"/>
    <w:semiHidden/>
    <w:unhideWhenUsed/>
    <w:qFormat/>
    <w:rsid w:val="00D34D85"/>
    <w:rPr>
      <w:sz w:val="22"/>
      <w:szCs w:val="22"/>
    </w:rPr>
  </w:style>
  <w:style w:type="character" w:customStyle="1" w:styleId="BodyTextChar">
    <w:name w:val="Body Text Char"/>
    <w:basedOn w:val="DefaultParagraphFont"/>
    <w:link w:val="BodyText"/>
    <w:uiPriority w:val="1"/>
    <w:semiHidden/>
    <w:rsid w:val="00D34D85"/>
    <w:rPr>
      <w:rFonts w:ascii="Calibri" w:eastAsiaTheme="minorEastAsia" w:hAnsi="Calibri" w:cs="Calibri"/>
      <w:lang w:eastAsia="en-GB"/>
    </w:rPr>
  </w:style>
  <w:style w:type="paragraph" w:styleId="ListParagraph">
    <w:name w:val="List Paragraph"/>
    <w:basedOn w:val="Normal"/>
    <w:uiPriority w:val="1"/>
    <w:qFormat/>
    <w:rsid w:val="00D34D85"/>
    <w:pPr>
      <w:ind w:left="1820" w:hanging="360"/>
    </w:pPr>
  </w:style>
  <w:style w:type="paragraph" w:customStyle="1" w:styleId="TableParagraph">
    <w:name w:val="Table Paragraph"/>
    <w:basedOn w:val="Normal"/>
    <w:uiPriority w:val="1"/>
    <w:qFormat/>
    <w:rsid w:val="00D34D85"/>
    <w:pPr>
      <w:spacing w:before="76"/>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D85"/>
    <w:pPr>
      <w:widowControl w:val="0"/>
      <w:autoSpaceDE w:val="0"/>
      <w:autoSpaceDN w:val="0"/>
      <w:adjustRightInd w:val="0"/>
    </w:pPr>
    <w:rPr>
      <w:rFonts w:ascii="Calibri" w:eastAsiaTheme="minorEastAsia" w:hAnsi="Calibri" w:cs="Calibri"/>
      <w:sz w:val="24"/>
      <w:szCs w:val="24"/>
      <w:lang w:eastAsia="en-GB"/>
    </w:rPr>
  </w:style>
  <w:style w:type="paragraph" w:styleId="Heading1">
    <w:name w:val="heading 1"/>
    <w:basedOn w:val="Normal"/>
    <w:next w:val="Normal"/>
    <w:link w:val="Heading1Char"/>
    <w:uiPriority w:val="1"/>
    <w:qFormat/>
    <w:rsid w:val="00D34D85"/>
    <w:pPr>
      <w:spacing w:before="21"/>
      <w:ind w:left="1100"/>
      <w:outlineLvl w:val="0"/>
    </w:pPr>
    <w:rPr>
      <w:rFonts w:eastAsia="Times New Roman"/>
      <w:b/>
      <w:bCs/>
      <w:sz w:val="28"/>
      <w:szCs w:val="28"/>
    </w:rPr>
  </w:style>
  <w:style w:type="paragraph" w:styleId="Heading3">
    <w:name w:val="heading 3"/>
    <w:basedOn w:val="Normal"/>
    <w:next w:val="Normal"/>
    <w:link w:val="Heading3Char"/>
    <w:uiPriority w:val="1"/>
    <w:semiHidden/>
    <w:unhideWhenUsed/>
    <w:qFormat/>
    <w:rsid w:val="00D34D85"/>
    <w:pPr>
      <w:spacing w:before="56"/>
      <w:ind w:left="1100"/>
      <w:outlineLvl w:val="2"/>
    </w:pPr>
    <w:rPr>
      <w:rFonts w:eastAsia="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4D85"/>
    <w:rPr>
      <w:rFonts w:ascii="Calibri" w:eastAsia="Times New Roman" w:hAnsi="Calibri" w:cs="Calibri"/>
      <w:b/>
      <w:bCs/>
      <w:sz w:val="28"/>
      <w:szCs w:val="28"/>
      <w:lang w:eastAsia="en-GB"/>
    </w:rPr>
  </w:style>
  <w:style w:type="character" w:customStyle="1" w:styleId="Heading3Char">
    <w:name w:val="Heading 3 Char"/>
    <w:basedOn w:val="DefaultParagraphFont"/>
    <w:link w:val="Heading3"/>
    <w:uiPriority w:val="1"/>
    <w:semiHidden/>
    <w:rsid w:val="00D34D85"/>
    <w:rPr>
      <w:rFonts w:ascii="Calibri" w:eastAsia="Times New Roman" w:hAnsi="Calibri" w:cs="Calibri"/>
      <w:b/>
      <w:bCs/>
      <w:lang w:eastAsia="en-GB"/>
    </w:rPr>
  </w:style>
  <w:style w:type="character" w:styleId="Hyperlink">
    <w:name w:val="Hyperlink"/>
    <w:basedOn w:val="DefaultParagraphFont"/>
    <w:uiPriority w:val="99"/>
    <w:semiHidden/>
    <w:unhideWhenUsed/>
    <w:rsid w:val="00D34D85"/>
    <w:rPr>
      <w:color w:val="0000FF" w:themeColor="hyperlink"/>
      <w:u w:val="single"/>
    </w:rPr>
  </w:style>
  <w:style w:type="paragraph" w:styleId="BodyText">
    <w:name w:val="Body Text"/>
    <w:basedOn w:val="Normal"/>
    <w:link w:val="BodyTextChar"/>
    <w:uiPriority w:val="1"/>
    <w:semiHidden/>
    <w:unhideWhenUsed/>
    <w:qFormat/>
    <w:rsid w:val="00D34D85"/>
    <w:rPr>
      <w:sz w:val="22"/>
      <w:szCs w:val="22"/>
    </w:rPr>
  </w:style>
  <w:style w:type="character" w:customStyle="1" w:styleId="BodyTextChar">
    <w:name w:val="Body Text Char"/>
    <w:basedOn w:val="DefaultParagraphFont"/>
    <w:link w:val="BodyText"/>
    <w:uiPriority w:val="1"/>
    <w:semiHidden/>
    <w:rsid w:val="00D34D85"/>
    <w:rPr>
      <w:rFonts w:ascii="Calibri" w:eastAsiaTheme="minorEastAsia" w:hAnsi="Calibri" w:cs="Calibri"/>
      <w:lang w:eastAsia="en-GB"/>
    </w:rPr>
  </w:style>
  <w:style w:type="paragraph" w:styleId="ListParagraph">
    <w:name w:val="List Paragraph"/>
    <w:basedOn w:val="Normal"/>
    <w:uiPriority w:val="1"/>
    <w:qFormat/>
    <w:rsid w:val="00D34D85"/>
    <w:pPr>
      <w:ind w:left="1820" w:hanging="360"/>
    </w:pPr>
  </w:style>
  <w:style w:type="paragraph" w:customStyle="1" w:styleId="TableParagraph">
    <w:name w:val="Table Paragraph"/>
    <w:basedOn w:val="Normal"/>
    <w:uiPriority w:val="1"/>
    <w:qFormat/>
    <w:rsid w:val="00D34D85"/>
    <w:pPr>
      <w:spacing w:before="76"/>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Kate</dc:creator>
  <cp:lastModifiedBy>Jones Steve</cp:lastModifiedBy>
  <cp:revision>2</cp:revision>
  <dcterms:created xsi:type="dcterms:W3CDTF">2019-01-17T17:05:00Z</dcterms:created>
  <dcterms:modified xsi:type="dcterms:W3CDTF">2019-01-17T17:05:00Z</dcterms:modified>
</cp:coreProperties>
</file>