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94141" w14:textId="77777777" w:rsidR="00C964DE" w:rsidRPr="00E84FAD" w:rsidRDefault="00C964DE" w:rsidP="00C964DE">
      <w:pPr>
        <w:pStyle w:val="Heading1"/>
      </w:pPr>
      <w:r w:rsidRPr="00E84FAD">
        <w:t>Youth Remand Provisions</w:t>
      </w:r>
    </w:p>
    <w:p w14:paraId="165434BA" w14:textId="1028030E" w:rsidR="00C964DE" w:rsidRPr="00E84FAD" w:rsidRDefault="00C964DE" w:rsidP="00B579B3">
      <w:pPr>
        <w:rPr>
          <w:color w:val="000000"/>
          <w:sz w:val="27"/>
          <w:szCs w:val="27"/>
        </w:rPr>
      </w:pPr>
    </w:p>
    <w:p w14:paraId="6A09E6DB" w14:textId="63F8BC14" w:rsidR="00C964DE" w:rsidRPr="00E84FAD" w:rsidRDefault="00C964DE" w:rsidP="00C964DE">
      <w:pPr>
        <w:pStyle w:val="Heading2"/>
      </w:pPr>
      <w:r w:rsidRPr="00E84FAD">
        <w:t>10 - 11 Years Old</w:t>
      </w:r>
    </w:p>
    <w:p w14:paraId="6A8F5412" w14:textId="77D95316" w:rsidR="00C964DE" w:rsidRPr="00E84FAD" w:rsidRDefault="00C964DE" w:rsidP="00E84FAD">
      <w:r w:rsidRPr="00E84FAD">
        <w:t>Youths aged 10 and 11 can only be remanded to local authority accommodation.</w:t>
      </w:r>
    </w:p>
    <w:p w14:paraId="2525DFD3" w14:textId="67557D15" w:rsidR="00C964DE" w:rsidRPr="00E84FAD" w:rsidRDefault="00C964DE" w:rsidP="00C964DE">
      <w:pPr>
        <w:pStyle w:val="Heading2"/>
      </w:pPr>
      <w:r w:rsidRPr="00E84FAD">
        <w:t>12 - 17 Years Old</w:t>
      </w:r>
    </w:p>
    <w:p w14:paraId="55AC85D7" w14:textId="72E1E8EB" w:rsidR="00C964DE" w:rsidRPr="00E84FAD" w:rsidRDefault="00C964DE" w:rsidP="00C964DE">
      <w:r w:rsidRPr="00E84FAD">
        <w:t>The Court may remand youths aged between 12 and 17 to youth detention accommodation, rather than local authority accommodation if the youth satisfies either:</w:t>
      </w:r>
    </w:p>
    <w:p w14:paraId="3BB6F8A1" w14:textId="09E6D1BC" w:rsidR="00B579B3" w:rsidRPr="00E84FAD" w:rsidRDefault="00B579B3" w:rsidP="00C964DE">
      <w:pPr>
        <w:pStyle w:val="Heading3"/>
        <w:rPr>
          <w:rFonts w:eastAsia="Lato"/>
          <w:b/>
          <w:bCs/>
        </w:rPr>
      </w:pPr>
      <w:r w:rsidRPr="00E84FAD">
        <w:rPr>
          <w:rFonts w:eastAsia="Lato"/>
          <w:b/>
          <w:bCs/>
        </w:rPr>
        <w:t>First Set of Conditions (s.98 LASPO 2012)</w:t>
      </w:r>
    </w:p>
    <w:p w14:paraId="756D11A6" w14:textId="77777777" w:rsidR="00B579B3" w:rsidRPr="00E84FAD" w:rsidRDefault="00B579B3" w:rsidP="00B579B3">
      <w:pPr>
        <w:pStyle w:val="ListParagraph"/>
        <w:numPr>
          <w:ilvl w:val="0"/>
          <w:numId w:val="2"/>
        </w:numPr>
        <w:rPr>
          <w:rFonts w:eastAsia="Lato" w:cstheme="minorHAnsi"/>
          <w:szCs w:val="24"/>
        </w:rPr>
      </w:pPr>
      <w:r w:rsidRPr="00E84FAD">
        <w:rPr>
          <w:rFonts w:eastAsia="Lato" w:cstheme="minorHAnsi"/>
          <w:szCs w:val="24"/>
        </w:rPr>
        <w:t>The age condition - The youth must be aged 12 to 17 years (s.98(2) LASPO 2012</w:t>
      </w:r>
      <w:proofErr w:type="gramStart"/>
      <w:r w:rsidRPr="00E84FAD">
        <w:rPr>
          <w:rFonts w:eastAsia="Lato" w:cstheme="minorHAnsi"/>
          <w:szCs w:val="24"/>
        </w:rPr>
        <w:t>);</w:t>
      </w:r>
      <w:proofErr w:type="gramEnd"/>
    </w:p>
    <w:p w14:paraId="744B1359" w14:textId="77777777" w:rsidR="00B579B3" w:rsidRPr="00E84FAD" w:rsidRDefault="00B579B3" w:rsidP="00B579B3">
      <w:pPr>
        <w:pStyle w:val="ListParagraph"/>
        <w:numPr>
          <w:ilvl w:val="0"/>
          <w:numId w:val="3"/>
        </w:numPr>
        <w:rPr>
          <w:rFonts w:eastAsia="Lato" w:cstheme="minorHAnsi"/>
          <w:szCs w:val="24"/>
        </w:rPr>
      </w:pPr>
      <w:r w:rsidRPr="00E84FAD">
        <w:rPr>
          <w:rFonts w:eastAsia="Lato" w:cstheme="minorHAnsi"/>
          <w:szCs w:val="24"/>
        </w:rPr>
        <w:t>The sentencing condition -</w:t>
      </w:r>
      <w:r w:rsidRPr="00E84FAD">
        <w:rPr>
          <w:rFonts w:eastAsia="Lato" w:cstheme="minorHAnsi"/>
          <w:color w:val="444444"/>
          <w:szCs w:val="24"/>
        </w:rPr>
        <w:t xml:space="preserve"> </w:t>
      </w:r>
      <w:r w:rsidRPr="00E84FAD">
        <w:rPr>
          <w:rFonts w:eastAsia="Lato" w:cstheme="minorHAnsi"/>
          <w:szCs w:val="24"/>
        </w:rPr>
        <w:t>it is very likely that the child will be sentenced to a custodial sentence (s.98(2A) LASPO</w:t>
      </w:r>
      <w:proofErr w:type="gramStart"/>
      <w:r w:rsidRPr="00E84FAD">
        <w:rPr>
          <w:rFonts w:eastAsia="Lato" w:cstheme="minorHAnsi"/>
          <w:szCs w:val="24"/>
        </w:rPr>
        <w:t>);</w:t>
      </w:r>
      <w:proofErr w:type="gramEnd"/>
    </w:p>
    <w:p w14:paraId="7F323BE2" w14:textId="77777777" w:rsidR="00B579B3" w:rsidRPr="00E84FAD" w:rsidRDefault="00B579B3" w:rsidP="00B579B3">
      <w:pPr>
        <w:pStyle w:val="ListParagraph"/>
        <w:numPr>
          <w:ilvl w:val="0"/>
          <w:numId w:val="3"/>
        </w:numPr>
        <w:rPr>
          <w:rFonts w:eastAsia="Lato" w:cstheme="minorHAnsi"/>
          <w:szCs w:val="24"/>
        </w:rPr>
      </w:pPr>
      <w:r w:rsidRPr="00E84FAD">
        <w:rPr>
          <w:rFonts w:eastAsia="Lato" w:cstheme="minorHAnsi"/>
          <w:szCs w:val="24"/>
        </w:rPr>
        <w:t>The offence condition</w:t>
      </w:r>
      <w:r w:rsidRPr="00E84FAD">
        <w:rPr>
          <w:rFonts w:eastAsia="Lato" w:cstheme="minorHAnsi"/>
          <w:b/>
          <w:bCs/>
          <w:szCs w:val="24"/>
        </w:rPr>
        <w:t xml:space="preserve"> - </w:t>
      </w:r>
      <w:r w:rsidRPr="00E84FAD">
        <w:rPr>
          <w:rFonts w:eastAsia="Lato" w:cstheme="minorHAnsi"/>
          <w:szCs w:val="24"/>
        </w:rPr>
        <w:t>The offence with which the youth is currently charged or convicted awaiting sentence is a violent sexual or terrorism offence (as defined in Parts 1 and 2 of Schedule 15 Criminal Justice Act 2003) or imprisonable with a sentence of 14 years of more in the case of an adult (s.98(3) LASPO 2012</w:t>
      </w:r>
      <w:proofErr w:type="gramStart"/>
      <w:r w:rsidRPr="00E84FAD">
        <w:rPr>
          <w:rFonts w:eastAsia="Lato" w:cstheme="minorHAnsi"/>
          <w:szCs w:val="24"/>
        </w:rPr>
        <w:t>);</w:t>
      </w:r>
      <w:proofErr w:type="gramEnd"/>
      <w:r w:rsidRPr="00E84FAD">
        <w:rPr>
          <w:rFonts w:eastAsia="Lato" w:cstheme="minorHAnsi"/>
          <w:szCs w:val="24"/>
        </w:rPr>
        <w:t xml:space="preserve"> </w:t>
      </w:r>
    </w:p>
    <w:p w14:paraId="4530455D" w14:textId="77777777" w:rsidR="00B579B3" w:rsidRPr="00E84FAD" w:rsidRDefault="00B579B3" w:rsidP="00B579B3">
      <w:pPr>
        <w:pStyle w:val="ListParagraph"/>
        <w:numPr>
          <w:ilvl w:val="0"/>
          <w:numId w:val="3"/>
        </w:numPr>
        <w:rPr>
          <w:rFonts w:eastAsia="Lato" w:cstheme="minorHAnsi"/>
          <w:szCs w:val="24"/>
        </w:rPr>
      </w:pPr>
      <w:bookmarkStart w:id="0" w:name="_Hlk109392266"/>
      <w:r w:rsidRPr="00E84FAD">
        <w:rPr>
          <w:rFonts w:eastAsia="Lato" w:cstheme="minorHAnsi"/>
          <w:szCs w:val="24"/>
        </w:rPr>
        <w:t>The necessity condition</w:t>
      </w:r>
      <w:r w:rsidRPr="00E84FAD">
        <w:rPr>
          <w:rFonts w:eastAsia="Lato" w:cstheme="minorHAnsi"/>
          <w:b/>
          <w:bCs/>
          <w:szCs w:val="24"/>
        </w:rPr>
        <w:t xml:space="preserve"> - </w:t>
      </w:r>
      <w:r w:rsidRPr="00E84FAD">
        <w:rPr>
          <w:rFonts w:eastAsia="Lato" w:cstheme="minorHAnsi"/>
          <w:szCs w:val="24"/>
        </w:rPr>
        <w:t xml:space="preserve">The court is of the opinion, after considering </w:t>
      </w:r>
      <w:proofErr w:type="gramStart"/>
      <w:r w:rsidRPr="00E84FAD">
        <w:rPr>
          <w:rFonts w:eastAsia="Lato" w:cstheme="minorHAnsi"/>
          <w:szCs w:val="24"/>
        </w:rPr>
        <w:t>all of</w:t>
      </w:r>
      <w:proofErr w:type="gramEnd"/>
      <w:r w:rsidRPr="00E84FAD">
        <w:rPr>
          <w:rFonts w:eastAsia="Lato" w:cstheme="minorHAnsi"/>
          <w:szCs w:val="24"/>
        </w:rPr>
        <w:t xml:space="preserve"> the options for the remand of the child, that only a remand to youth detention accommodation would be adequate to: </w:t>
      </w:r>
    </w:p>
    <w:p w14:paraId="67E1C8CA" w14:textId="77777777" w:rsidR="00B579B3" w:rsidRPr="00E84FAD" w:rsidRDefault="00B579B3" w:rsidP="00E84FAD">
      <w:pPr>
        <w:pStyle w:val="ListParagraph"/>
        <w:numPr>
          <w:ilvl w:val="1"/>
          <w:numId w:val="3"/>
        </w:numPr>
        <w:rPr>
          <w:rFonts w:eastAsia="Lato" w:cstheme="minorHAnsi"/>
          <w:szCs w:val="24"/>
        </w:rPr>
      </w:pPr>
      <w:r w:rsidRPr="00E84FAD">
        <w:rPr>
          <w:rFonts w:eastAsia="Lato" w:cstheme="minorHAnsi"/>
          <w:szCs w:val="24"/>
        </w:rPr>
        <w:t xml:space="preserve">protect the public from death or serious personal injury (physical or psychological) occasioned by further offences committed by the child; or </w:t>
      </w:r>
    </w:p>
    <w:p w14:paraId="5BE0DC93" w14:textId="77777777" w:rsidR="00B579B3" w:rsidRPr="00E84FAD" w:rsidRDefault="00B579B3" w:rsidP="00E84FAD">
      <w:pPr>
        <w:pStyle w:val="ListParagraph"/>
        <w:numPr>
          <w:ilvl w:val="1"/>
          <w:numId w:val="3"/>
        </w:numPr>
        <w:rPr>
          <w:rFonts w:eastAsia="Lato" w:cstheme="minorHAnsi"/>
          <w:szCs w:val="24"/>
        </w:rPr>
      </w:pPr>
      <w:r w:rsidRPr="00E84FAD">
        <w:rPr>
          <w:rFonts w:eastAsia="Lato" w:cstheme="minorHAnsi"/>
          <w:szCs w:val="24"/>
        </w:rPr>
        <w:t>to prevent the commission by the youth of further imprisonable offences.</w:t>
      </w:r>
    </w:p>
    <w:p w14:paraId="5C7AE285" w14:textId="77777777" w:rsidR="00B579B3" w:rsidRPr="00E84FAD" w:rsidRDefault="00B579B3" w:rsidP="00E84FAD">
      <w:pPr>
        <w:pStyle w:val="ListParagraph"/>
        <w:ind w:left="1440"/>
        <w:rPr>
          <w:rFonts w:eastAsia="Lato" w:cstheme="minorHAnsi"/>
          <w:szCs w:val="24"/>
        </w:rPr>
      </w:pPr>
      <w:r w:rsidRPr="00E84FAD">
        <w:rPr>
          <w:rFonts w:eastAsia="Lato" w:cstheme="minorHAnsi"/>
          <w:szCs w:val="24"/>
        </w:rPr>
        <w:t>and that the risks posed by the child cannot be managed safely in the community. (s.98(</w:t>
      </w:r>
      <w:proofErr w:type="gramStart"/>
      <w:r w:rsidRPr="00E84FAD">
        <w:rPr>
          <w:rFonts w:eastAsia="Lato" w:cstheme="minorHAnsi"/>
          <w:szCs w:val="24"/>
        </w:rPr>
        <w:t>4)LASPO</w:t>
      </w:r>
      <w:proofErr w:type="gramEnd"/>
      <w:r w:rsidRPr="00E84FAD">
        <w:rPr>
          <w:rFonts w:eastAsia="Lato" w:cstheme="minorHAnsi"/>
          <w:szCs w:val="24"/>
        </w:rPr>
        <w:t>);</w:t>
      </w:r>
    </w:p>
    <w:p w14:paraId="4FAEA779" w14:textId="2ADCB12C" w:rsidR="00B579B3" w:rsidRPr="00E84FAD" w:rsidRDefault="00B579B3" w:rsidP="00C964DE">
      <w:pPr>
        <w:pStyle w:val="ListParagraph"/>
        <w:numPr>
          <w:ilvl w:val="0"/>
          <w:numId w:val="3"/>
        </w:numPr>
        <w:rPr>
          <w:rFonts w:eastAsia="Lato" w:cstheme="minorHAnsi"/>
          <w:szCs w:val="24"/>
        </w:rPr>
      </w:pPr>
      <w:r w:rsidRPr="00E84FAD">
        <w:rPr>
          <w:rFonts w:eastAsia="Lato" w:cstheme="minorHAnsi"/>
          <w:szCs w:val="24"/>
        </w:rPr>
        <w:t>The legal representation conditions -The youth must be legally represented, or is not legally represented because the youth is not eligible or has been informed of the right to be represented but has not applied for representation or has had representation withdrawn because of his conduct (sections 98(5), 98(6), LASPO 2012</w:t>
      </w:r>
      <w:proofErr w:type="gramStart"/>
      <w:r w:rsidRPr="00E84FAD">
        <w:rPr>
          <w:rFonts w:eastAsia="Lato" w:cstheme="minorHAnsi"/>
          <w:szCs w:val="24"/>
        </w:rPr>
        <w:t>);</w:t>
      </w:r>
      <w:bookmarkEnd w:id="0"/>
      <w:proofErr w:type="gramEnd"/>
    </w:p>
    <w:p w14:paraId="7A5B9CFA" w14:textId="7708DC5B" w:rsidR="00B579B3" w:rsidRPr="00E84FAD" w:rsidRDefault="00B579B3" w:rsidP="00C964DE">
      <w:pPr>
        <w:pStyle w:val="Heading3"/>
        <w:rPr>
          <w:rFonts w:eastAsia="Lato"/>
          <w:b/>
          <w:bCs/>
        </w:rPr>
      </w:pPr>
      <w:r w:rsidRPr="00E84FAD">
        <w:rPr>
          <w:rFonts w:eastAsia="Lato"/>
          <w:b/>
          <w:bCs/>
        </w:rPr>
        <w:t>Second Set of Conditions (s.99 LASPO 2012)</w:t>
      </w:r>
    </w:p>
    <w:p w14:paraId="27A222BA" w14:textId="77777777" w:rsidR="00B579B3" w:rsidRPr="00E84FAD" w:rsidRDefault="00B579B3" w:rsidP="00B579B3">
      <w:pPr>
        <w:pStyle w:val="ListParagraph"/>
        <w:numPr>
          <w:ilvl w:val="0"/>
          <w:numId w:val="1"/>
        </w:numPr>
        <w:rPr>
          <w:rFonts w:eastAsia="Lato" w:cstheme="minorHAnsi"/>
          <w:szCs w:val="24"/>
        </w:rPr>
      </w:pPr>
      <w:r w:rsidRPr="00E84FAD">
        <w:rPr>
          <w:rFonts w:eastAsia="Lato" w:cstheme="minorHAnsi"/>
          <w:szCs w:val="24"/>
        </w:rPr>
        <w:t>The age condition - The youth must be aged 12 to 17 years (s.99(2) LASPO 2012);</w:t>
      </w:r>
    </w:p>
    <w:p w14:paraId="121AEF72" w14:textId="77777777" w:rsidR="00B579B3" w:rsidRPr="00E84FAD" w:rsidRDefault="00B579B3" w:rsidP="00B579B3">
      <w:pPr>
        <w:pStyle w:val="ListParagraph"/>
        <w:numPr>
          <w:ilvl w:val="0"/>
          <w:numId w:val="1"/>
        </w:numPr>
        <w:rPr>
          <w:rFonts w:eastAsia="Lato" w:cstheme="minorHAnsi"/>
          <w:szCs w:val="24"/>
        </w:rPr>
      </w:pPr>
      <w:r w:rsidRPr="00E84FAD">
        <w:rPr>
          <w:rFonts w:eastAsia="Lato" w:cstheme="minorHAnsi"/>
          <w:szCs w:val="24"/>
        </w:rPr>
        <w:t>The sentencing condition - it is very likely that the child will be sentenced to a custodial sentence (s.99(3) LASPO);</w:t>
      </w:r>
    </w:p>
    <w:p w14:paraId="4EBBC3CC" w14:textId="7CBFFDCF" w:rsidR="00B579B3" w:rsidRPr="00E84FAD" w:rsidRDefault="00B579B3" w:rsidP="00C964DE">
      <w:pPr>
        <w:pStyle w:val="ListParagraph"/>
        <w:numPr>
          <w:ilvl w:val="0"/>
          <w:numId w:val="1"/>
        </w:numPr>
        <w:rPr>
          <w:rFonts w:eastAsia="Lato" w:cstheme="minorHAnsi"/>
          <w:b/>
          <w:bCs/>
          <w:szCs w:val="24"/>
        </w:rPr>
      </w:pPr>
      <w:r w:rsidRPr="00E84FAD">
        <w:rPr>
          <w:rFonts w:eastAsia="Lato" w:cstheme="minorHAnsi"/>
          <w:szCs w:val="24"/>
        </w:rPr>
        <w:t>The offence condition</w:t>
      </w:r>
      <w:r w:rsidRPr="00E84FAD">
        <w:rPr>
          <w:rFonts w:eastAsia="Lato" w:cstheme="minorHAnsi"/>
          <w:b/>
          <w:bCs/>
          <w:szCs w:val="24"/>
        </w:rPr>
        <w:t xml:space="preserve"> -</w:t>
      </w:r>
      <w:r w:rsidRPr="00E84FAD">
        <w:rPr>
          <w:rFonts w:eastAsia="Lato" w:cstheme="minorHAnsi"/>
          <w:szCs w:val="24"/>
        </w:rPr>
        <w:t xml:space="preserve"> one of the offences for which the child is currently remanded is imprisonable (s.99(4) LASPO 2012);</w:t>
      </w:r>
      <w:r w:rsidR="00C964DE" w:rsidRPr="00E84FAD">
        <w:rPr>
          <w:rFonts w:eastAsia="Lato" w:cstheme="minorHAnsi"/>
          <w:b/>
          <w:bCs/>
          <w:szCs w:val="24"/>
        </w:rPr>
        <w:t xml:space="preserve"> </w:t>
      </w:r>
    </w:p>
    <w:p w14:paraId="36DF10BE" w14:textId="77777777" w:rsidR="00E84FAD" w:rsidRPr="00E84FAD" w:rsidRDefault="00B579B3" w:rsidP="00E84FAD">
      <w:pPr>
        <w:pStyle w:val="ListParagraph"/>
        <w:numPr>
          <w:ilvl w:val="0"/>
          <w:numId w:val="1"/>
        </w:numPr>
        <w:rPr>
          <w:rFonts w:eastAsia="Lato" w:cstheme="minorHAnsi"/>
          <w:b/>
          <w:bCs/>
          <w:szCs w:val="24"/>
        </w:rPr>
      </w:pPr>
      <w:r w:rsidRPr="00E84FAD">
        <w:rPr>
          <w:rFonts w:eastAsia="Lato" w:cstheme="minorHAnsi"/>
          <w:szCs w:val="24"/>
        </w:rPr>
        <w:t>The history condition</w:t>
      </w:r>
      <w:r w:rsidRPr="00E84FAD">
        <w:rPr>
          <w:rFonts w:eastAsia="Lato" w:cstheme="minorHAnsi"/>
          <w:b/>
          <w:bCs/>
          <w:szCs w:val="24"/>
        </w:rPr>
        <w:t xml:space="preserve"> - </w:t>
      </w:r>
      <w:r w:rsidRPr="00E84FAD">
        <w:rPr>
          <w:rFonts w:eastAsia="Lato" w:cstheme="minorHAnsi"/>
          <w:szCs w:val="24"/>
        </w:rPr>
        <w:t>The court is satisfied that either:</w:t>
      </w:r>
    </w:p>
    <w:p w14:paraId="1D735DEC" w14:textId="77777777" w:rsidR="00E84FAD" w:rsidRPr="00E84FAD" w:rsidRDefault="00B579B3" w:rsidP="00E84FAD">
      <w:pPr>
        <w:pStyle w:val="ListParagraph"/>
        <w:numPr>
          <w:ilvl w:val="1"/>
          <w:numId w:val="1"/>
        </w:numPr>
        <w:rPr>
          <w:rFonts w:eastAsia="Lato" w:cstheme="minorHAnsi"/>
          <w:b/>
          <w:bCs/>
          <w:szCs w:val="24"/>
        </w:rPr>
      </w:pPr>
      <w:r w:rsidRPr="00E84FAD">
        <w:rPr>
          <w:rFonts w:eastAsia="Lato" w:cstheme="minorHAnsi"/>
          <w:szCs w:val="24"/>
        </w:rPr>
        <w:t xml:space="preserve">The youth </w:t>
      </w:r>
      <w:proofErr w:type="gramStart"/>
      <w:r w:rsidRPr="00E84FAD">
        <w:rPr>
          <w:rFonts w:eastAsia="Lato" w:cstheme="minorHAnsi"/>
          <w:szCs w:val="24"/>
        </w:rPr>
        <w:t>has</w:t>
      </w:r>
      <w:proofErr w:type="gramEnd"/>
      <w:r w:rsidRPr="00E84FAD">
        <w:rPr>
          <w:rFonts w:eastAsia="Lato" w:cstheme="minorHAnsi"/>
          <w:szCs w:val="24"/>
        </w:rPr>
        <w:t xml:space="preserve"> a recent and significant history of absconding while remanded to local authority accommodation or youth detention accommodation; and the offence(s) that the court is considering under section 91 of which the child has been charged with or convicted of, was committed while remanded </w:t>
      </w:r>
      <w:r w:rsidRPr="00E84FAD">
        <w:rPr>
          <w:rFonts w:eastAsia="Lato" w:cstheme="minorHAnsi"/>
          <w:szCs w:val="24"/>
        </w:rPr>
        <w:lastRenderedPageBreak/>
        <w:t xml:space="preserve">to local authority accommodation or youth detention accommodation. (section 99(5) LASPO 2012); </w:t>
      </w:r>
      <w:r w:rsidRPr="00E84FAD">
        <w:rPr>
          <w:rFonts w:eastAsia="Lato" w:cstheme="minorHAnsi"/>
          <w:b/>
          <w:bCs/>
          <w:szCs w:val="24"/>
        </w:rPr>
        <w:t>or</w:t>
      </w:r>
    </w:p>
    <w:p w14:paraId="1D4E961F" w14:textId="19F8ECA2" w:rsidR="00B579B3" w:rsidRPr="00E84FAD" w:rsidRDefault="00B579B3" w:rsidP="00E84FAD">
      <w:pPr>
        <w:pStyle w:val="ListParagraph"/>
        <w:numPr>
          <w:ilvl w:val="1"/>
          <w:numId w:val="1"/>
        </w:numPr>
        <w:rPr>
          <w:rFonts w:eastAsia="Lato" w:cstheme="minorHAnsi"/>
          <w:b/>
          <w:bCs/>
          <w:szCs w:val="24"/>
        </w:rPr>
      </w:pPr>
      <w:r w:rsidRPr="00E84FAD">
        <w:rPr>
          <w:rFonts w:eastAsia="Lato" w:cstheme="minorHAnsi"/>
          <w:szCs w:val="24"/>
        </w:rPr>
        <w:t>The offence(s) the court is currently considering (of which the child has been charged with or convicted of), is one when taken with previous imprisonable offences for which they have been convicted, amounts to a recent and significant history of committing imprisonable offences while on bail or remand to local authority accommodation or youth detention accommodation. (s. 99(6) LASPO 2012)</w:t>
      </w:r>
    </w:p>
    <w:p w14:paraId="6AE1F35C" w14:textId="77777777" w:rsidR="00B579B3" w:rsidRPr="00E84FAD" w:rsidRDefault="00B579B3" w:rsidP="00B579B3">
      <w:pPr>
        <w:pStyle w:val="ListParagraph"/>
        <w:numPr>
          <w:ilvl w:val="0"/>
          <w:numId w:val="3"/>
        </w:numPr>
        <w:rPr>
          <w:rFonts w:eastAsia="Lato" w:cstheme="minorHAnsi"/>
          <w:szCs w:val="24"/>
        </w:rPr>
      </w:pPr>
      <w:r w:rsidRPr="00E84FAD">
        <w:rPr>
          <w:rFonts w:eastAsia="Lato" w:cstheme="minorHAnsi"/>
          <w:szCs w:val="24"/>
        </w:rPr>
        <w:t>The necessity condition</w:t>
      </w:r>
      <w:r w:rsidRPr="00E84FAD">
        <w:rPr>
          <w:rFonts w:eastAsia="Lato" w:cstheme="minorHAnsi"/>
          <w:b/>
          <w:bCs/>
          <w:szCs w:val="24"/>
        </w:rPr>
        <w:t xml:space="preserve"> - </w:t>
      </w:r>
      <w:r w:rsidRPr="00E84FAD">
        <w:rPr>
          <w:rFonts w:eastAsia="Lato" w:cstheme="minorHAnsi"/>
          <w:szCs w:val="24"/>
        </w:rPr>
        <w:t xml:space="preserve">The court is of the opinion, after considering all of the options for the remand of the child, that only a remand to youth detention accommodation would be adequate to: </w:t>
      </w:r>
    </w:p>
    <w:p w14:paraId="7941F0ED" w14:textId="77777777" w:rsidR="00B579B3" w:rsidRPr="00E84FAD" w:rsidRDefault="00B579B3" w:rsidP="00B579B3">
      <w:pPr>
        <w:pStyle w:val="ListParagraph"/>
        <w:numPr>
          <w:ilvl w:val="1"/>
          <w:numId w:val="3"/>
        </w:numPr>
        <w:rPr>
          <w:rFonts w:eastAsia="Lato" w:cstheme="minorHAnsi"/>
          <w:szCs w:val="24"/>
        </w:rPr>
      </w:pPr>
      <w:r w:rsidRPr="00E84FAD">
        <w:rPr>
          <w:rFonts w:eastAsia="Lato" w:cstheme="minorHAnsi"/>
          <w:szCs w:val="24"/>
        </w:rPr>
        <w:t xml:space="preserve">protect the public from death or serious personal injury (physical or psychological) occasioned by further offences committed by the child; or </w:t>
      </w:r>
    </w:p>
    <w:p w14:paraId="71C4B280" w14:textId="77777777" w:rsidR="00B579B3" w:rsidRPr="00E84FAD" w:rsidRDefault="00B579B3" w:rsidP="00B579B3">
      <w:pPr>
        <w:pStyle w:val="ListParagraph"/>
        <w:numPr>
          <w:ilvl w:val="1"/>
          <w:numId w:val="3"/>
        </w:numPr>
        <w:rPr>
          <w:rFonts w:eastAsia="Lato" w:cstheme="minorHAnsi"/>
          <w:szCs w:val="24"/>
        </w:rPr>
      </w:pPr>
      <w:r w:rsidRPr="00E84FAD">
        <w:rPr>
          <w:rFonts w:eastAsia="Lato" w:cstheme="minorHAnsi"/>
          <w:szCs w:val="24"/>
        </w:rPr>
        <w:t>to prevent the commission by the youth of further imprisonable offences.</w:t>
      </w:r>
    </w:p>
    <w:p w14:paraId="2200C2D3" w14:textId="77777777" w:rsidR="00B579B3" w:rsidRPr="00E84FAD" w:rsidRDefault="00B579B3" w:rsidP="00B579B3">
      <w:pPr>
        <w:pStyle w:val="ListParagraph"/>
        <w:rPr>
          <w:rFonts w:eastAsia="Lato" w:cstheme="minorHAnsi"/>
          <w:szCs w:val="24"/>
        </w:rPr>
      </w:pPr>
      <w:r w:rsidRPr="00E84FAD">
        <w:rPr>
          <w:rFonts w:eastAsia="Lato" w:cstheme="minorHAnsi"/>
          <w:szCs w:val="24"/>
        </w:rPr>
        <w:t>and that the risks posed by the child cannot be managed safely in the community. (s.99(</w:t>
      </w:r>
      <w:proofErr w:type="gramStart"/>
      <w:r w:rsidRPr="00E84FAD">
        <w:rPr>
          <w:rFonts w:eastAsia="Lato" w:cstheme="minorHAnsi"/>
          <w:szCs w:val="24"/>
        </w:rPr>
        <w:t>7)LASPO</w:t>
      </w:r>
      <w:proofErr w:type="gramEnd"/>
      <w:r w:rsidRPr="00E84FAD">
        <w:rPr>
          <w:rFonts w:eastAsia="Lato" w:cstheme="minorHAnsi"/>
          <w:szCs w:val="24"/>
        </w:rPr>
        <w:t>);</w:t>
      </w:r>
    </w:p>
    <w:p w14:paraId="123EE8E7" w14:textId="77777777" w:rsidR="00B579B3" w:rsidRPr="00E84FAD" w:rsidRDefault="00B579B3" w:rsidP="00B579B3">
      <w:pPr>
        <w:pStyle w:val="ListParagraph"/>
        <w:numPr>
          <w:ilvl w:val="0"/>
          <w:numId w:val="3"/>
        </w:numPr>
        <w:rPr>
          <w:rFonts w:eastAsia="Lato" w:cstheme="minorHAnsi"/>
          <w:szCs w:val="24"/>
        </w:rPr>
      </w:pPr>
      <w:r w:rsidRPr="00E84FAD">
        <w:rPr>
          <w:rFonts w:eastAsia="Lato" w:cstheme="minorHAnsi"/>
          <w:szCs w:val="24"/>
        </w:rPr>
        <w:t>The legal representation conditions -The youth must be legally represented, or is not legally represented because the youth is not eligible or has been informed of the right to be represented but has not applied for representation or has had representation withdrawn because of his conduct (sections 99(8) and (9) LASPO 2012);</w:t>
      </w:r>
    </w:p>
    <w:p w14:paraId="1F1E5DA8" w14:textId="77777777" w:rsidR="00B579B3" w:rsidRDefault="00B579B3"/>
    <w:sectPr w:rsidR="00B57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C73D1"/>
    <w:multiLevelType w:val="hybridMultilevel"/>
    <w:tmpl w:val="2594FB36"/>
    <w:lvl w:ilvl="0" w:tplc="050868E8">
      <w:start w:val="1"/>
      <w:numFmt w:val="bullet"/>
      <w:lvlText w:val=""/>
      <w:lvlJc w:val="left"/>
      <w:pPr>
        <w:ind w:left="720" w:hanging="360"/>
      </w:pPr>
      <w:rPr>
        <w:rFonts w:ascii="Symbol" w:hAnsi="Symbol" w:hint="default"/>
      </w:rPr>
    </w:lvl>
    <w:lvl w:ilvl="1" w:tplc="238CFD38">
      <w:start w:val="1"/>
      <w:numFmt w:val="bullet"/>
      <w:lvlText w:val="o"/>
      <w:lvlJc w:val="left"/>
      <w:pPr>
        <w:ind w:left="1440" w:hanging="360"/>
      </w:pPr>
      <w:rPr>
        <w:rFonts w:ascii="Courier New" w:hAnsi="Courier New" w:hint="default"/>
      </w:rPr>
    </w:lvl>
    <w:lvl w:ilvl="2" w:tplc="01B27694">
      <w:start w:val="1"/>
      <w:numFmt w:val="bullet"/>
      <w:lvlText w:val=""/>
      <w:lvlJc w:val="left"/>
      <w:pPr>
        <w:ind w:left="2160" w:hanging="360"/>
      </w:pPr>
      <w:rPr>
        <w:rFonts w:ascii="Wingdings" w:hAnsi="Wingdings" w:hint="default"/>
      </w:rPr>
    </w:lvl>
    <w:lvl w:ilvl="3" w:tplc="7EEA3F76">
      <w:start w:val="1"/>
      <w:numFmt w:val="bullet"/>
      <w:lvlText w:val=""/>
      <w:lvlJc w:val="left"/>
      <w:pPr>
        <w:ind w:left="2880" w:hanging="360"/>
      </w:pPr>
      <w:rPr>
        <w:rFonts w:ascii="Symbol" w:hAnsi="Symbol" w:hint="default"/>
      </w:rPr>
    </w:lvl>
    <w:lvl w:ilvl="4" w:tplc="25C0C056">
      <w:start w:val="1"/>
      <w:numFmt w:val="bullet"/>
      <w:lvlText w:val="o"/>
      <w:lvlJc w:val="left"/>
      <w:pPr>
        <w:ind w:left="3600" w:hanging="360"/>
      </w:pPr>
      <w:rPr>
        <w:rFonts w:ascii="Courier New" w:hAnsi="Courier New" w:hint="default"/>
      </w:rPr>
    </w:lvl>
    <w:lvl w:ilvl="5" w:tplc="56EC2C20">
      <w:start w:val="1"/>
      <w:numFmt w:val="bullet"/>
      <w:lvlText w:val=""/>
      <w:lvlJc w:val="left"/>
      <w:pPr>
        <w:ind w:left="4320" w:hanging="360"/>
      </w:pPr>
      <w:rPr>
        <w:rFonts w:ascii="Wingdings" w:hAnsi="Wingdings" w:hint="default"/>
      </w:rPr>
    </w:lvl>
    <w:lvl w:ilvl="6" w:tplc="1EF292DA">
      <w:start w:val="1"/>
      <w:numFmt w:val="bullet"/>
      <w:lvlText w:val=""/>
      <w:lvlJc w:val="left"/>
      <w:pPr>
        <w:ind w:left="5040" w:hanging="360"/>
      </w:pPr>
      <w:rPr>
        <w:rFonts w:ascii="Symbol" w:hAnsi="Symbol" w:hint="default"/>
      </w:rPr>
    </w:lvl>
    <w:lvl w:ilvl="7" w:tplc="27AEC700">
      <w:start w:val="1"/>
      <w:numFmt w:val="bullet"/>
      <w:lvlText w:val="o"/>
      <w:lvlJc w:val="left"/>
      <w:pPr>
        <w:ind w:left="5760" w:hanging="360"/>
      </w:pPr>
      <w:rPr>
        <w:rFonts w:ascii="Courier New" w:hAnsi="Courier New" w:hint="default"/>
      </w:rPr>
    </w:lvl>
    <w:lvl w:ilvl="8" w:tplc="F6D87182">
      <w:start w:val="1"/>
      <w:numFmt w:val="bullet"/>
      <w:lvlText w:val=""/>
      <w:lvlJc w:val="left"/>
      <w:pPr>
        <w:ind w:left="6480" w:hanging="360"/>
      </w:pPr>
      <w:rPr>
        <w:rFonts w:ascii="Wingdings" w:hAnsi="Wingdings" w:hint="default"/>
      </w:rPr>
    </w:lvl>
  </w:abstractNum>
  <w:abstractNum w:abstractNumId="1" w15:restartNumberingAfterBreak="0">
    <w:nsid w:val="5211A784"/>
    <w:multiLevelType w:val="hybridMultilevel"/>
    <w:tmpl w:val="64742926"/>
    <w:lvl w:ilvl="0" w:tplc="E698F8AA">
      <w:start w:val="1"/>
      <w:numFmt w:val="bullet"/>
      <w:lvlText w:val=""/>
      <w:lvlJc w:val="left"/>
      <w:pPr>
        <w:ind w:left="720" w:hanging="360"/>
      </w:pPr>
      <w:rPr>
        <w:rFonts w:ascii="Symbol" w:hAnsi="Symbol" w:hint="default"/>
      </w:rPr>
    </w:lvl>
    <w:lvl w:ilvl="1" w:tplc="5DDEA06E">
      <w:start w:val="1"/>
      <w:numFmt w:val="lowerLetter"/>
      <w:lvlText w:val="%2."/>
      <w:lvlJc w:val="left"/>
      <w:pPr>
        <w:ind w:left="1440" w:hanging="360"/>
      </w:pPr>
    </w:lvl>
    <w:lvl w:ilvl="2" w:tplc="2D84A960">
      <w:start w:val="1"/>
      <w:numFmt w:val="lowerRoman"/>
      <w:lvlText w:val="%3."/>
      <w:lvlJc w:val="right"/>
      <w:pPr>
        <w:ind w:left="2160" w:hanging="180"/>
      </w:pPr>
    </w:lvl>
    <w:lvl w:ilvl="3" w:tplc="41DACCCA">
      <w:start w:val="1"/>
      <w:numFmt w:val="decimal"/>
      <w:lvlText w:val="%4."/>
      <w:lvlJc w:val="left"/>
      <w:pPr>
        <w:ind w:left="2880" w:hanging="360"/>
      </w:pPr>
    </w:lvl>
    <w:lvl w:ilvl="4" w:tplc="1FA20AC4">
      <w:start w:val="1"/>
      <w:numFmt w:val="lowerLetter"/>
      <w:lvlText w:val="%5."/>
      <w:lvlJc w:val="left"/>
      <w:pPr>
        <w:ind w:left="3600" w:hanging="360"/>
      </w:pPr>
    </w:lvl>
    <w:lvl w:ilvl="5" w:tplc="41A0F38A">
      <w:start w:val="1"/>
      <w:numFmt w:val="lowerRoman"/>
      <w:lvlText w:val="%6."/>
      <w:lvlJc w:val="right"/>
      <w:pPr>
        <w:ind w:left="4320" w:hanging="180"/>
      </w:pPr>
    </w:lvl>
    <w:lvl w:ilvl="6" w:tplc="A4E808B8">
      <w:start w:val="1"/>
      <w:numFmt w:val="decimal"/>
      <w:lvlText w:val="%7."/>
      <w:lvlJc w:val="left"/>
      <w:pPr>
        <w:ind w:left="5040" w:hanging="360"/>
      </w:pPr>
    </w:lvl>
    <w:lvl w:ilvl="7" w:tplc="F1060DD4">
      <w:start w:val="1"/>
      <w:numFmt w:val="lowerLetter"/>
      <w:lvlText w:val="%8."/>
      <w:lvlJc w:val="left"/>
      <w:pPr>
        <w:ind w:left="5760" w:hanging="360"/>
      </w:pPr>
    </w:lvl>
    <w:lvl w:ilvl="8" w:tplc="F6445010">
      <w:start w:val="1"/>
      <w:numFmt w:val="lowerRoman"/>
      <w:lvlText w:val="%9."/>
      <w:lvlJc w:val="right"/>
      <w:pPr>
        <w:ind w:left="6480" w:hanging="180"/>
      </w:pPr>
    </w:lvl>
  </w:abstractNum>
  <w:abstractNum w:abstractNumId="2" w15:restartNumberingAfterBreak="0">
    <w:nsid w:val="6695127F"/>
    <w:multiLevelType w:val="hybridMultilevel"/>
    <w:tmpl w:val="0596B448"/>
    <w:lvl w:ilvl="0" w:tplc="0EC038F2">
      <w:start w:val="1"/>
      <w:numFmt w:val="bullet"/>
      <w:lvlText w:val=""/>
      <w:lvlJc w:val="left"/>
      <w:pPr>
        <w:ind w:left="720" w:hanging="360"/>
      </w:pPr>
      <w:rPr>
        <w:rFonts w:ascii="Symbol" w:hAnsi="Symbol" w:hint="default"/>
      </w:rPr>
    </w:lvl>
    <w:lvl w:ilvl="1" w:tplc="D9541284">
      <w:start w:val="1"/>
      <w:numFmt w:val="lowerLetter"/>
      <w:lvlText w:val="%2."/>
      <w:lvlJc w:val="left"/>
      <w:pPr>
        <w:ind w:left="1440" w:hanging="360"/>
      </w:pPr>
      <w:rPr>
        <w:rFonts w:hint="default"/>
        <w:b w:val="0"/>
        <w:bCs w:val="0"/>
      </w:rPr>
    </w:lvl>
    <w:lvl w:ilvl="2" w:tplc="C1C66940">
      <w:start w:val="1"/>
      <w:numFmt w:val="bullet"/>
      <w:lvlText w:val=""/>
      <w:lvlJc w:val="left"/>
      <w:pPr>
        <w:ind w:left="2160" w:hanging="360"/>
      </w:pPr>
      <w:rPr>
        <w:rFonts w:ascii="Wingdings" w:hAnsi="Wingdings" w:hint="default"/>
      </w:rPr>
    </w:lvl>
    <w:lvl w:ilvl="3" w:tplc="2E12B2BE">
      <w:start w:val="1"/>
      <w:numFmt w:val="bullet"/>
      <w:lvlText w:val=""/>
      <w:lvlJc w:val="left"/>
      <w:pPr>
        <w:ind w:left="2880" w:hanging="360"/>
      </w:pPr>
      <w:rPr>
        <w:rFonts w:ascii="Symbol" w:hAnsi="Symbol" w:hint="default"/>
      </w:rPr>
    </w:lvl>
    <w:lvl w:ilvl="4" w:tplc="C4B4DCD6">
      <w:start w:val="1"/>
      <w:numFmt w:val="bullet"/>
      <w:lvlText w:val="o"/>
      <w:lvlJc w:val="left"/>
      <w:pPr>
        <w:ind w:left="3600" w:hanging="360"/>
      </w:pPr>
      <w:rPr>
        <w:rFonts w:ascii="Courier New" w:hAnsi="Courier New" w:hint="default"/>
      </w:rPr>
    </w:lvl>
    <w:lvl w:ilvl="5" w:tplc="A15CD20E">
      <w:start w:val="1"/>
      <w:numFmt w:val="bullet"/>
      <w:lvlText w:val=""/>
      <w:lvlJc w:val="left"/>
      <w:pPr>
        <w:ind w:left="4320" w:hanging="360"/>
      </w:pPr>
      <w:rPr>
        <w:rFonts w:ascii="Wingdings" w:hAnsi="Wingdings" w:hint="default"/>
      </w:rPr>
    </w:lvl>
    <w:lvl w:ilvl="6" w:tplc="E10AE99E">
      <w:start w:val="1"/>
      <w:numFmt w:val="bullet"/>
      <w:lvlText w:val=""/>
      <w:lvlJc w:val="left"/>
      <w:pPr>
        <w:ind w:left="5040" w:hanging="360"/>
      </w:pPr>
      <w:rPr>
        <w:rFonts w:ascii="Symbol" w:hAnsi="Symbol" w:hint="default"/>
      </w:rPr>
    </w:lvl>
    <w:lvl w:ilvl="7" w:tplc="EEE0A43A">
      <w:start w:val="1"/>
      <w:numFmt w:val="bullet"/>
      <w:lvlText w:val="o"/>
      <w:lvlJc w:val="left"/>
      <w:pPr>
        <w:ind w:left="5760" w:hanging="360"/>
      </w:pPr>
      <w:rPr>
        <w:rFonts w:ascii="Courier New" w:hAnsi="Courier New" w:hint="default"/>
      </w:rPr>
    </w:lvl>
    <w:lvl w:ilvl="8" w:tplc="BD12F87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B3"/>
    <w:rsid w:val="00B579B3"/>
    <w:rsid w:val="00C964DE"/>
    <w:rsid w:val="00E8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DE80"/>
  <w15:chartTrackingRefBased/>
  <w15:docId w15:val="{D366DD16-62B1-4E5B-8607-A51734B7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AD"/>
    <w:rPr>
      <w:sz w:val="24"/>
      <w:lang w:val="en-US"/>
    </w:rPr>
  </w:style>
  <w:style w:type="paragraph" w:styleId="Heading1">
    <w:name w:val="heading 1"/>
    <w:basedOn w:val="Normal"/>
    <w:next w:val="Normal"/>
    <w:link w:val="Heading1Char"/>
    <w:uiPriority w:val="9"/>
    <w:qFormat/>
    <w:rsid w:val="00E84FAD"/>
    <w:pPr>
      <w:keepNext/>
      <w:keepLines/>
      <w:spacing w:before="240" w:after="0" w:line="240" w:lineRule="auto"/>
      <w:outlineLvl w:val="0"/>
    </w:pPr>
    <w:rPr>
      <w:rFonts w:asciiTheme="majorHAnsi" w:eastAsiaTheme="majorEastAsia" w:hAnsiTheme="majorHAnsi" w:cstheme="majorBidi"/>
      <w:b/>
      <w:color w:val="4472C4" w:themeColor="accent1"/>
      <w:sz w:val="32"/>
      <w:szCs w:val="32"/>
    </w:rPr>
  </w:style>
  <w:style w:type="paragraph" w:styleId="Heading2">
    <w:name w:val="heading 2"/>
    <w:basedOn w:val="Normal"/>
    <w:next w:val="Normal"/>
    <w:link w:val="Heading2Char"/>
    <w:uiPriority w:val="9"/>
    <w:unhideWhenUsed/>
    <w:qFormat/>
    <w:rsid w:val="00E84FAD"/>
    <w:pPr>
      <w:keepNext/>
      <w:keepLines/>
      <w:spacing w:before="40" w:after="0"/>
      <w:outlineLvl w:val="1"/>
    </w:pPr>
    <w:rPr>
      <w:rFonts w:asciiTheme="majorHAnsi" w:eastAsiaTheme="majorEastAsia" w:hAnsiTheme="majorHAnsi" w:cstheme="majorBidi"/>
      <w:b/>
      <w:color w:val="4472C4" w:themeColor="accent1"/>
      <w:sz w:val="28"/>
      <w:szCs w:val="26"/>
    </w:rPr>
  </w:style>
  <w:style w:type="paragraph" w:styleId="Heading3">
    <w:name w:val="heading 3"/>
    <w:basedOn w:val="Normal"/>
    <w:next w:val="Normal"/>
    <w:link w:val="Heading3Char"/>
    <w:uiPriority w:val="9"/>
    <w:unhideWhenUsed/>
    <w:qFormat/>
    <w:rsid w:val="00E84FAD"/>
    <w:pPr>
      <w:keepNext/>
      <w:keepLines/>
      <w:spacing w:before="40" w:after="0"/>
      <w:outlineLvl w:val="2"/>
    </w:pPr>
    <w:rPr>
      <w:rFonts w:asciiTheme="majorHAnsi" w:eastAsiaTheme="majorEastAsia" w:hAnsiTheme="majorHAnsi" w:cstheme="majorBidi"/>
      <w:color w:val="4472C4"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9B3"/>
    <w:pPr>
      <w:ind w:left="720"/>
      <w:contextualSpacing/>
    </w:pPr>
  </w:style>
  <w:style w:type="paragraph" w:styleId="CommentText">
    <w:name w:val="annotation text"/>
    <w:basedOn w:val="Normal"/>
    <w:link w:val="CommentTextChar"/>
    <w:uiPriority w:val="99"/>
    <w:semiHidden/>
    <w:unhideWhenUsed/>
    <w:rsid w:val="00B579B3"/>
    <w:pPr>
      <w:spacing w:line="240" w:lineRule="auto"/>
    </w:pPr>
    <w:rPr>
      <w:sz w:val="20"/>
      <w:szCs w:val="20"/>
    </w:rPr>
  </w:style>
  <w:style w:type="character" w:customStyle="1" w:styleId="CommentTextChar">
    <w:name w:val="Comment Text Char"/>
    <w:basedOn w:val="DefaultParagraphFont"/>
    <w:link w:val="CommentText"/>
    <w:uiPriority w:val="99"/>
    <w:semiHidden/>
    <w:rsid w:val="00B579B3"/>
    <w:rPr>
      <w:sz w:val="20"/>
      <w:szCs w:val="20"/>
      <w:lang w:val="en-US"/>
    </w:rPr>
  </w:style>
  <w:style w:type="character" w:styleId="CommentReference">
    <w:name w:val="annotation reference"/>
    <w:basedOn w:val="DefaultParagraphFont"/>
    <w:uiPriority w:val="99"/>
    <w:semiHidden/>
    <w:unhideWhenUsed/>
    <w:rsid w:val="00B579B3"/>
    <w:rPr>
      <w:sz w:val="16"/>
      <w:szCs w:val="16"/>
    </w:rPr>
  </w:style>
  <w:style w:type="character" w:customStyle="1" w:styleId="Heading1Char">
    <w:name w:val="Heading 1 Char"/>
    <w:basedOn w:val="DefaultParagraphFont"/>
    <w:link w:val="Heading1"/>
    <w:uiPriority w:val="9"/>
    <w:rsid w:val="00E84FAD"/>
    <w:rPr>
      <w:rFonts w:asciiTheme="majorHAnsi" w:eastAsiaTheme="majorEastAsia" w:hAnsiTheme="majorHAnsi" w:cstheme="majorBidi"/>
      <w:b/>
      <w:color w:val="4472C4" w:themeColor="accent1"/>
      <w:sz w:val="32"/>
      <w:szCs w:val="32"/>
      <w:lang w:val="en-US"/>
    </w:rPr>
  </w:style>
  <w:style w:type="character" w:customStyle="1" w:styleId="Heading2Char">
    <w:name w:val="Heading 2 Char"/>
    <w:basedOn w:val="DefaultParagraphFont"/>
    <w:link w:val="Heading2"/>
    <w:uiPriority w:val="9"/>
    <w:rsid w:val="00E84FAD"/>
    <w:rPr>
      <w:rFonts w:asciiTheme="majorHAnsi" w:eastAsiaTheme="majorEastAsia" w:hAnsiTheme="majorHAnsi" w:cstheme="majorBidi"/>
      <w:b/>
      <w:color w:val="4472C4" w:themeColor="accent1"/>
      <w:sz w:val="28"/>
      <w:szCs w:val="26"/>
      <w:lang w:val="en-US"/>
    </w:rPr>
  </w:style>
  <w:style w:type="character" w:customStyle="1" w:styleId="Heading3Char">
    <w:name w:val="Heading 3 Char"/>
    <w:basedOn w:val="DefaultParagraphFont"/>
    <w:link w:val="Heading3"/>
    <w:uiPriority w:val="9"/>
    <w:rsid w:val="00E84FAD"/>
    <w:rPr>
      <w:rFonts w:asciiTheme="majorHAnsi" w:eastAsiaTheme="majorEastAsia" w:hAnsiTheme="majorHAnsi" w:cstheme="majorBidi"/>
      <w:color w:val="4472C4"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4</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Fisher</dc:creator>
  <cp:keywords/>
  <dc:description/>
  <cp:lastModifiedBy>Ian Beesley</cp:lastModifiedBy>
  <cp:revision>2</cp:revision>
  <dcterms:created xsi:type="dcterms:W3CDTF">2022-08-23T10:54:00Z</dcterms:created>
  <dcterms:modified xsi:type="dcterms:W3CDTF">2022-08-23T10:54:00Z</dcterms:modified>
</cp:coreProperties>
</file>