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73" w:rsidRDefault="00320673" w:rsidP="00E52012">
      <w:pPr>
        <w:rPr>
          <w:b/>
        </w:rPr>
      </w:pPr>
    </w:p>
    <w:p w:rsidR="00E52012" w:rsidRDefault="00E52012" w:rsidP="00E52012">
      <w:pPr>
        <w:rPr>
          <w:b/>
        </w:rPr>
      </w:pPr>
      <w:r w:rsidRPr="00E52012">
        <w:rPr>
          <w:b/>
        </w:rPr>
        <w:t xml:space="preserve">RESPONSE TEMPLATE FOR </w:t>
      </w:r>
      <w:r w:rsidR="00D836A7">
        <w:rPr>
          <w:b/>
        </w:rPr>
        <w:t xml:space="preserve">CONSULTATION ON </w:t>
      </w:r>
      <w:r w:rsidR="00054B0E">
        <w:rPr>
          <w:b/>
        </w:rPr>
        <w:t>LEGAL GUIDANCE ON SECONDARY LIABILITY</w:t>
      </w:r>
    </w:p>
    <w:p w:rsidR="007C4940" w:rsidRDefault="007C4940" w:rsidP="00E52012">
      <w:bookmarkStart w:id="0" w:name="_GoBack"/>
      <w:bookmarkEnd w:id="0"/>
    </w:p>
    <w:p w:rsidR="00E52012" w:rsidRDefault="00E52012" w:rsidP="00E52012">
      <w:r>
        <w:t>Name:</w:t>
      </w:r>
      <w:r>
        <w:tab/>
      </w:r>
      <w:r>
        <w:tab/>
      </w:r>
    </w:p>
    <w:p w:rsidR="00E52012" w:rsidRDefault="00E52012" w:rsidP="00E52012"/>
    <w:p w:rsidR="00E52012" w:rsidRDefault="00E52012" w:rsidP="00E52012">
      <w:r>
        <w:t>Organisation (if applicable):</w:t>
      </w:r>
    </w:p>
    <w:p w:rsidR="00E52012" w:rsidRDefault="00E52012" w:rsidP="00E52012"/>
    <w:p w:rsidR="00E52012" w:rsidRDefault="00E52012" w:rsidP="00E52012">
      <w:r>
        <w:t>Address:</w:t>
      </w:r>
    </w:p>
    <w:p w:rsidR="00E52012" w:rsidRDefault="00E52012" w:rsidP="00E52012"/>
    <w:p w:rsidR="00E52012" w:rsidRDefault="00E52012" w:rsidP="00E52012">
      <w:r>
        <w:t>Telephone:</w:t>
      </w:r>
    </w:p>
    <w:p w:rsidR="00E52012" w:rsidRDefault="00E52012" w:rsidP="00E52012"/>
    <w:p w:rsidR="00E52012" w:rsidRDefault="00E52012" w:rsidP="00E52012">
      <w:r>
        <w:t>E-mail:</w:t>
      </w:r>
    </w:p>
    <w:p w:rsidR="00E52012" w:rsidRDefault="00E52012" w:rsidP="00E52012"/>
    <w:p w:rsidR="00E52012" w:rsidRPr="00E52012" w:rsidRDefault="00E52012" w:rsidP="00E520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  <w:shd w:val="clear" w:color="auto" w:fill="auto"/>
          </w:tcPr>
          <w:p w:rsidR="00E52012" w:rsidRPr="00054B0E" w:rsidRDefault="00054B0E" w:rsidP="00054B0E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eastAsia="Times New Roman" w:cs="Arial"/>
                <w:bCs/>
                <w:szCs w:val="24"/>
                <w:lang w:eastAsia="en-GB"/>
              </w:rPr>
            </w:pPr>
            <w:r w:rsidRPr="00B46609">
              <w:rPr>
                <w:rFonts w:eastAsia="Times New Roman" w:cs="Arial"/>
                <w:bCs/>
                <w:szCs w:val="24"/>
                <w:lang w:eastAsia="en-GB"/>
              </w:rPr>
              <w:t xml:space="preserve">Does the section on </w:t>
            </w:r>
            <w:r w:rsidRPr="00B46609">
              <w:rPr>
                <w:rFonts w:eastAsia="Times New Roman" w:cs="Arial"/>
                <w:bCs/>
                <w:i/>
                <w:szCs w:val="24"/>
                <w:lang w:eastAsia="en-GB"/>
              </w:rPr>
              <w:t xml:space="preserve">Principles of Secondary Liability </w:t>
            </w:r>
            <w:r w:rsidRPr="00B46609">
              <w:rPr>
                <w:rFonts w:eastAsia="Times New Roman" w:cs="Arial"/>
                <w:bCs/>
                <w:szCs w:val="24"/>
                <w:lang w:eastAsia="en-GB"/>
              </w:rPr>
              <w:t xml:space="preserve">cover all the main principles accurately? 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024E7E" w:rsidRPr="007E330F" w:rsidRDefault="00024E7E" w:rsidP="00024E7E">
            <w:pPr>
              <w:ind w:left="720"/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p w:rsidR="00E52012" w:rsidRP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</w:tcPr>
          <w:p w:rsidR="00E52012" w:rsidRPr="00054B0E" w:rsidRDefault="00054B0E" w:rsidP="00054B0E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eastAsia="Times New Roman" w:cs="Arial"/>
                <w:bCs/>
                <w:szCs w:val="24"/>
                <w:lang w:eastAsia="en-GB"/>
              </w:rPr>
            </w:pPr>
            <w:r w:rsidRPr="00B46609">
              <w:rPr>
                <w:rFonts w:cs="Arial"/>
                <w:szCs w:val="24"/>
              </w:rPr>
              <w:t xml:space="preserve">Does the section on </w:t>
            </w:r>
            <w:r w:rsidRPr="00B46609">
              <w:rPr>
                <w:rFonts w:cs="Arial"/>
                <w:i/>
                <w:szCs w:val="24"/>
              </w:rPr>
              <w:t>Conditional intent cases</w:t>
            </w:r>
            <w:r w:rsidRPr="00B46609">
              <w:rPr>
                <w:rFonts w:cs="Arial"/>
                <w:szCs w:val="24"/>
              </w:rPr>
              <w:t xml:space="preserve"> provide clear guidance that accurately reflects the law post-</w:t>
            </w:r>
            <w:r w:rsidRPr="00B46609">
              <w:rPr>
                <w:rFonts w:cs="Arial"/>
                <w:i/>
                <w:szCs w:val="24"/>
              </w:rPr>
              <w:t>Jogee</w:t>
            </w:r>
            <w:r w:rsidRPr="00B46609">
              <w:rPr>
                <w:rFonts w:cs="Arial"/>
                <w:szCs w:val="24"/>
              </w:rPr>
              <w:t xml:space="preserve">? 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p w:rsidR="00E52012" w:rsidRP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</w:tcPr>
          <w:p w:rsidR="00E52012" w:rsidRPr="00054B0E" w:rsidRDefault="00054B0E" w:rsidP="00054B0E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eastAsia="Times New Roman" w:cs="Arial"/>
                <w:bCs/>
                <w:szCs w:val="24"/>
                <w:lang w:eastAsia="en-GB"/>
              </w:rPr>
            </w:pPr>
            <w:r w:rsidRPr="00B46609">
              <w:rPr>
                <w:rFonts w:eastAsia="Times New Roman" w:cs="Arial"/>
                <w:szCs w:val="24"/>
                <w:lang w:eastAsia="en-GB"/>
              </w:rPr>
              <w:t xml:space="preserve">Do the sections on charging group assaults provide clear guidance </w:t>
            </w:r>
            <w:r w:rsidRPr="00B46609">
              <w:rPr>
                <w:rFonts w:cs="Arial"/>
                <w:szCs w:val="24"/>
              </w:rPr>
              <w:t>on how to approach charging decisions in such cases post-</w:t>
            </w:r>
            <w:r w:rsidRPr="00B46609">
              <w:rPr>
                <w:rFonts w:cs="Arial"/>
                <w:i/>
                <w:szCs w:val="24"/>
              </w:rPr>
              <w:t>Jogee</w:t>
            </w:r>
            <w:r w:rsidRPr="00B46609">
              <w:rPr>
                <w:rFonts w:cs="Arial"/>
                <w:szCs w:val="24"/>
              </w:rPr>
              <w:t>?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</w:tcPr>
          <w:p w:rsidR="00024E7E" w:rsidRPr="00054B0E" w:rsidRDefault="00054B0E" w:rsidP="00054B0E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eastAsia="Times New Roman" w:cs="Arial"/>
                <w:bCs/>
                <w:szCs w:val="24"/>
                <w:lang w:eastAsia="en-GB"/>
              </w:rPr>
            </w:pPr>
            <w:r w:rsidRPr="00B46609">
              <w:rPr>
                <w:rFonts w:cs="Arial"/>
              </w:rPr>
              <w:t xml:space="preserve">Do you have any further comments on the </w:t>
            </w:r>
            <w:r w:rsidRPr="00B46609">
              <w:rPr>
                <w:rFonts w:cs="Arial"/>
                <w:i/>
              </w:rPr>
              <w:t>Legal Guidance on Secondary Liability</w:t>
            </w:r>
            <w:r w:rsidRPr="00B46609">
              <w:rPr>
                <w:rFonts w:cs="Arial"/>
              </w:rPr>
              <w:t>?</w:t>
            </w:r>
          </w:p>
          <w:p w:rsidR="00E52012" w:rsidRPr="00E52012" w:rsidRDefault="00E52012" w:rsidP="00024E7E">
            <w:pPr>
              <w:rPr>
                <w:b/>
                <w:u w:val="single"/>
              </w:rPr>
            </w:pP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p w:rsidR="00E52012" w:rsidRPr="00E52012" w:rsidRDefault="00E52012" w:rsidP="00E52012">
      <w:pPr>
        <w:rPr>
          <w:b/>
          <w:u w:val="single"/>
        </w:rPr>
      </w:pPr>
    </w:p>
    <w:p w:rsidR="009619D8" w:rsidRDefault="009619D8"/>
    <w:p w:rsidR="00E52012" w:rsidRDefault="00E52012">
      <w:r>
        <w:t>How did you hear about this consultation?</w:t>
      </w:r>
    </w:p>
    <w:p w:rsidR="00E52012" w:rsidRDefault="00E52012"/>
    <w:p w:rsidR="00E52012" w:rsidRDefault="00E52012" w:rsidP="00E52012">
      <w:pPr>
        <w:pStyle w:val="ListParagraph"/>
        <w:numPr>
          <w:ilvl w:val="0"/>
          <w:numId w:val="2"/>
        </w:numPr>
      </w:pPr>
      <w:r>
        <w:t xml:space="preserve">National press </w:t>
      </w:r>
    </w:p>
    <w:p w:rsidR="00E52012" w:rsidRDefault="00E52012" w:rsidP="00E52012">
      <w:pPr>
        <w:pStyle w:val="ListParagraph"/>
        <w:numPr>
          <w:ilvl w:val="0"/>
          <w:numId w:val="2"/>
        </w:numPr>
      </w:pPr>
      <w:r>
        <w:t>Television or Radio</w:t>
      </w:r>
    </w:p>
    <w:p w:rsidR="00E52012" w:rsidRDefault="00E52012" w:rsidP="00E52012">
      <w:pPr>
        <w:pStyle w:val="ListParagraph"/>
        <w:numPr>
          <w:ilvl w:val="0"/>
          <w:numId w:val="2"/>
        </w:numPr>
      </w:pPr>
      <w:r>
        <w:t>Specialist press (e.g. Law Society Gazette)</w:t>
      </w:r>
    </w:p>
    <w:p w:rsidR="00E52012" w:rsidRDefault="00E52012" w:rsidP="00E52012">
      <w:pPr>
        <w:pStyle w:val="ListParagraph"/>
        <w:numPr>
          <w:ilvl w:val="0"/>
          <w:numId w:val="2"/>
        </w:numPr>
      </w:pPr>
      <w:r>
        <w:t>CPS Website</w:t>
      </w:r>
    </w:p>
    <w:p w:rsidR="00E52012" w:rsidRDefault="00E52012" w:rsidP="00E52012">
      <w:pPr>
        <w:pStyle w:val="ListParagraph"/>
        <w:numPr>
          <w:ilvl w:val="0"/>
          <w:numId w:val="2"/>
        </w:numPr>
      </w:pPr>
      <w:r>
        <w:t>Other website</w:t>
      </w:r>
    </w:p>
    <w:p w:rsidR="00E52012" w:rsidRDefault="00E52012" w:rsidP="00E52012">
      <w:pPr>
        <w:pStyle w:val="ListParagraph"/>
        <w:numPr>
          <w:ilvl w:val="0"/>
          <w:numId w:val="2"/>
        </w:numPr>
      </w:pPr>
      <w:r>
        <w:t>CPS Twitter feed</w:t>
      </w:r>
    </w:p>
    <w:p w:rsidR="00E52012" w:rsidRDefault="00E52012" w:rsidP="00E52012">
      <w:pPr>
        <w:pStyle w:val="ListParagraph"/>
        <w:numPr>
          <w:ilvl w:val="0"/>
          <w:numId w:val="2"/>
        </w:numPr>
      </w:pPr>
      <w:r>
        <w:t>Other Twitter feed (or social networking site)</w:t>
      </w:r>
    </w:p>
    <w:p w:rsidR="00E52012" w:rsidRDefault="00E52012" w:rsidP="00E52012">
      <w:pPr>
        <w:pStyle w:val="ListParagraph"/>
        <w:numPr>
          <w:ilvl w:val="0"/>
          <w:numId w:val="2"/>
        </w:numPr>
      </w:pPr>
    </w:p>
    <w:sectPr w:rsidR="00E52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6EAD"/>
    <w:multiLevelType w:val="hybridMultilevel"/>
    <w:tmpl w:val="47F2713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404781"/>
    <w:multiLevelType w:val="hybridMultilevel"/>
    <w:tmpl w:val="174E5C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719B1"/>
    <w:multiLevelType w:val="hybridMultilevel"/>
    <w:tmpl w:val="B212F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65A05"/>
    <w:multiLevelType w:val="hybridMultilevel"/>
    <w:tmpl w:val="69708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33FAB"/>
    <w:multiLevelType w:val="hybridMultilevel"/>
    <w:tmpl w:val="C970777A"/>
    <w:lvl w:ilvl="0" w:tplc="EBEAE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12"/>
    <w:rsid w:val="00024E7E"/>
    <w:rsid w:val="00054B0E"/>
    <w:rsid w:val="00077819"/>
    <w:rsid w:val="00320673"/>
    <w:rsid w:val="00323448"/>
    <w:rsid w:val="003516D6"/>
    <w:rsid w:val="007C4940"/>
    <w:rsid w:val="00927411"/>
    <w:rsid w:val="00942A2F"/>
    <w:rsid w:val="009619D8"/>
    <w:rsid w:val="00CB209B"/>
    <w:rsid w:val="00D836A7"/>
    <w:rsid w:val="00E52012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McGonagle Matthew</dc:creator>
  <cp:lastModifiedBy>CPS</cp:lastModifiedBy>
  <cp:revision>2</cp:revision>
  <dcterms:created xsi:type="dcterms:W3CDTF">2017-07-05T11:46:00Z</dcterms:created>
  <dcterms:modified xsi:type="dcterms:W3CDTF">2017-07-05T11:46:00Z</dcterms:modified>
</cp:coreProperties>
</file>