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8E4B" w14:textId="77777777" w:rsidR="0003387F" w:rsidRDefault="00CB170D">
      <w:pPr>
        <w:pStyle w:val="BodyText"/>
        <w:jc w:val="center"/>
        <w:outlineLvl w:val="0"/>
        <w:rPr>
          <w:rFonts w:asciiTheme="minorHAnsi" w:hAnsiTheme="minorHAnsi" w:cstheme="minorHAnsi"/>
          <w:b/>
          <w:sz w:val="24"/>
        </w:rPr>
      </w:pPr>
      <w:r>
        <w:rPr>
          <w:rFonts w:asciiTheme="minorHAnsi" w:hAnsiTheme="minorHAnsi" w:cstheme="minorHAnsi"/>
          <w:b/>
          <w:sz w:val="24"/>
        </w:rPr>
        <w:t>Consultation on the Deception as to Gender section in the Rape and Serious Sexual Offences (RASSO) legal guidance</w:t>
      </w:r>
    </w:p>
    <w:p w14:paraId="124292F0" w14:textId="77777777" w:rsidR="0003387F" w:rsidRDefault="00CB170D">
      <w:pPr>
        <w:pStyle w:val="Heading1"/>
        <w:jc w:val="both"/>
        <w:rPr>
          <w:rFonts w:asciiTheme="minorHAnsi" w:hAnsiTheme="minorHAnsi" w:cstheme="minorHAnsi"/>
          <w:sz w:val="24"/>
          <w:szCs w:val="24"/>
        </w:rPr>
      </w:pPr>
      <w:r>
        <w:rPr>
          <w:rFonts w:asciiTheme="minorHAnsi" w:hAnsiTheme="minorHAnsi" w:cstheme="minorHAnsi"/>
          <w:sz w:val="24"/>
          <w:szCs w:val="24"/>
        </w:rPr>
        <w:t>Introduction</w:t>
      </w:r>
    </w:p>
    <w:p w14:paraId="1F0BC3CD" w14:textId="77777777" w:rsidR="0003387F" w:rsidRDefault="00CB170D">
      <w:pPr>
        <w:pStyle w:val="ListParagraph"/>
        <w:numPr>
          <w:ilvl w:val="0"/>
          <w:numId w:val="1"/>
        </w:numPr>
        <w:jc w:val="both"/>
        <w:rPr>
          <w:rFonts w:cstheme="minorHAnsi"/>
        </w:rPr>
      </w:pPr>
      <w:r>
        <w:rPr>
          <w:rFonts w:cstheme="minorHAnsi"/>
        </w:rPr>
        <w:t>The CPS is conducting a public consultation on a proposed revision to its legal guidance on Rape and Serious Sexual Offences (RASSO), specifically chapter 6 consent, the section on deception as to gender. The purpose of the consultation is to provide inter</w:t>
      </w:r>
      <w:r>
        <w:rPr>
          <w:rFonts w:cstheme="minorHAnsi"/>
        </w:rPr>
        <w:t xml:space="preserve">ested persons with an opportunity to provide comments and to ensure the final version of the guidance is informed by as wide a range of views as possible. The revised guidance may be accessed via the link below. </w:t>
      </w:r>
    </w:p>
    <w:p w14:paraId="2163554F" w14:textId="77777777" w:rsidR="0003387F" w:rsidRDefault="0003387F">
      <w:pPr>
        <w:pStyle w:val="ListParagraph"/>
        <w:jc w:val="both"/>
        <w:rPr>
          <w:rFonts w:cstheme="minorHAnsi"/>
        </w:rPr>
      </w:pPr>
    </w:p>
    <w:p w14:paraId="7ACC7643" w14:textId="77777777" w:rsidR="0003387F" w:rsidRDefault="00CB170D">
      <w:pPr>
        <w:pStyle w:val="ListParagraph"/>
        <w:numPr>
          <w:ilvl w:val="0"/>
          <w:numId w:val="1"/>
        </w:numPr>
        <w:jc w:val="both"/>
        <w:rPr>
          <w:rFonts w:cstheme="minorHAnsi"/>
        </w:rPr>
      </w:pPr>
      <w:r>
        <w:rPr>
          <w:rFonts w:cstheme="minorHAnsi"/>
        </w:rPr>
        <w:t>The proposed revision is intended to provi</w:t>
      </w:r>
      <w:r>
        <w:rPr>
          <w:rFonts w:cstheme="minorHAnsi"/>
        </w:rPr>
        <w:t xml:space="preserve">de guidance to prosecutors when dealing with cases in which deception as to gender is a live issue. In </w:t>
      </w:r>
      <w:proofErr w:type="gramStart"/>
      <w:r>
        <w:rPr>
          <w:rFonts w:cstheme="minorHAnsi"/>
        </w:rPr>
        <w:t>October 2020</w:t>
      </w:r>
      <w:proofErr w:type="gramEnd"/>
      <w:r>
        <w:rPr>
          <w:rFonts w:cstheme="minorHAnsi"/>
        </w:rPr>
        <w:t xml:space="preserve"> the CPS published interim updated RASSO guidance which included a section on deception as to gender. This guidance was subject to public con</w:t>
      </w:r>
      <w:r>
        <w:rPr>
          <w:rFonts w:cstheme="minorHAnsi"/>
        </w:rPr>
        <w:t xml:space="preserve">sultation and in May 2021 the final guidance was published. </w:t>
      </w:r>
    </w:p>
    <w:p w14:paraId="10E1DBE2" w14:textId="77777777" w:rsidR="0003387F" w:rsidRDefault="0003387F">
      <w:pPr>
        <w:pStyle w:val="ListParagraph"/>
        <w:jc w:val="both"/>
        <w:rPr>
          <w:rFonts w:cstheme="minorHAnsi"/>
        </w:rPr>
      </w:pPr>
    </w:p>
    <w:p w14:paraId="43BD242D" w14:textId="77777777" w:rsidR="0003387F" w:rsidRDefault="00CB170D">
      <w:pPr>
        <w:pStyle w:val="ListParagraph"/>
        <w:numPr>
          <w:ilvl w:val="0"/>
          <w:numId w:val="1"/>
        </w:numPr>
        <w:jc w:val="both"/>
        <w:rPr>
          <w:rFonts w:cstheme="minorHAnsi"/>
          <w:iCs/>
        </w:rPr>
      </w:pPr>
      <w:r>
        <w:rPr>
          <w:rFonts w:cstheme="minorHAnsi"/>
          <w:iCs/>
        </w:rPr>
        <w:t>The CPS regularly reviews and updates our legal guidance to ensure it supports our prosecutors. A review of the RASSO guidance identified that further direction could be provided in the deceptio</w:t>
      </w:r>
      <w:r>
        <w:rPr>
          <w:rFonts w:cstheme="minorHAnsi"/>
          <w:iCs/>
        </w:rPr>
        <w:t xml:space="preserve">n as to gender section, to assist prosecutors with understanding the law in this complex area. </w:t>
      </w:r>
      <w:r>
        <w:rPr>
          <w:rFonts w:cstheme="minorHAnsi"/>
        </w:rPr>
        <w:t>Adherence to these guidelines will ensure that there is a predictability, transparency and consistency of decision making across the CPS.</w:t>
      </w:r>
    </w:p>
    <w:p w14:paraId="4A21993B" w14:textId="77777777" w:rsidR="0003387F" w:rsidRDefault="0003387F">
      <w:pPr>
        <w:pStyle w:val="ListParagraph"/>
        <w:jc w:val="both"/>
        <w:rPr>
          <w:rFonts w:cstheme="minorHAnsi"/>
        </w:rPr>
      </w:pPr>
    </w:p>
    <w:p w14:paraId="06003FD5" w14:textId="77777777" w:rsidR="0003387F" w:rsidRDefault="00CB170D">
      <w:pPr>
        <w:pStyle w:val="ListParagraph"/>
        <w:numPr>
          <w:ilvl w:val="0"/>
          <w:numId w:val="1"/>
        </w:numPr>
        <w:jc w:val="both"/>
        <w:rPr>
          <w:rFonts w:cstheme="minorHAnsi"/>
        </w:rPr>
      </w:pPr>
      <w:r>
        <w:rPr>
          <w:rFonts w:cstheme="minorHAnsi"/>
        </w:rPr>
        <w:t>As part of the draftin</w:t>
      </w:r>
      <w:r>
        <w:rPr>
          <w:rFonts w:cstheme="minorHAnsi"/>
        </w:rPr>
        <w:t xml:space="preserve">g process the CPS has conducted a pre-consultation with interested groups. A first draft of the guidance was provided to these groups and feedback was provided in writing and during workshops. The feedback was considered, and revisions were made. </w:t>
      </w:r>
    </w:p>
    <w:p w14:paraId="529D8839" w14:textId="77777777" w:rsidR="0003387F" w:rsidRDefault="00CB170D">
      <w:pPr>
        <w:pStyle w:val="Heading1"/>
        <w:jc w:val="both"/>
        <w:rPr>
          <w:rFonts w:asciiTheme="minorHAnsi" w:hAnsiTheme="minorHAnsi" w:cstheme="minorHAnsi"/>
          <w:sz w:val="24"/>
          <w:szCs w:val="24"/>
        </w:rPr>
      </w:pPr>
      <w:r>
        <w:rPr>
          <w:rFonts w:asciiTheme="minorHAnsi" w:hAnsiTheme="minorHAnsi" w:cstheme="minorHAnsi"/>
          <w:sz w:val="24"/>
          <w:szCs w:val="24"/>
        </w:rPr>
        <w:lastRenderedPageBreak/>
        <w:t>Backgrou</w:t>
      </w:r>
      <w:r>
        <w:rPr>
          <w:rFonts w:asciiTheme="minorHAnsi" w:hAnsiTheme="minorHAnsi" w:cstheme="minorHAnsi"/>
          <w:sz w:val="24"/>
          <w:szCs w:val="24"/>
        </w:rPr>
        <w:t>nd</w:t>
      </w:r>
    </w:p>
    <w:p w14:paraId="007FD53E" w14:textId="77777777" w:rsidR="0003387F" w:rsidRDefault="00CB170D">
      <w:pPr>
        <w:pStyle w:val="ListParagraph"/>
        <w:numPr>
          <w:ilvl w:val="0"/>
          <w:numId w:val="1"/>
        </w:numPr>
        <w:jc w:val="both"/>
        <w:rPr>
          <w:rFonts w:cstheme="minorHAnsi"/>
        </w:rPr>
      </w:pPr>
      <w:r>
        <w:rPr>
          <w:rFonts w:cstheme="minorHAnsi"/>
        </w:rPr>
        <w:t>The Sexual Offences Act 2003 (the Act) came into force on 1 May 2004. Section 74 of the Act defines consent as follows: “for the purposes of this Part, a person consents if he agrees by choice, and has the freedom and capacity to make that choice”.</w:t>
      </w:r>
    </w:p>
    <w:p w14:paraId="43245988" w14:textId="77777777" w:rsidR="0003387F" w:rsidRDefault="0003387F">
      <w:pPr>
        <w:pStyle w:val="ListParagraph"/>
        <w:jc w:val="both"/>
        <w:rPr>
          <w:rStyle w:val="CommentReference"/>
          <w:rFonts w:cstheme="minorHAnsi"/>
          <w:sz w:val="24"/>
          <w:szCs w:val="24"/>
        </w:rPr>
      </w:pPr>
    </w:p>
    <w:p w14:paraId="648B7E1D" w14:textId="77777777" w:rsidR="0003387F" w:rsidRDefault="00CB170D">
      <w:pPr>
        <w:pStyle w:val="ListParagraph"/>
        <w:numPr>
          <w:ilvl w:val="0"/>
          <w:numId w:val="1"/>
        </w:numPr>
        <w:jc w:val="both"/>
        <w:rPr>
          <w:rFonts w:cstheme="minorHAnsi"/>
        </w:rPr>
      </w:pPr>
      <w:r>
        <w:rPr>
          <w:rFonts w:cstheme="minorHAnsi"/>
          <w:iCs/>
        </w:rPr>
        <w:t>Sin</w:t>
      </w:r>
      <w:r>
        <w:rPr>
          <w:rFonts w:cstheme="minorHAnsi"/>
          <w:iCs/>
        </w:rPr>
        <w:t xml:space="preserve">ce the Act came in to force the Court of Appeal has considered </w:t>
      </w:r>
      <w:r>
        <w:rPr>
          <w:rFonts w:cstheme="minorHAnsi"/>
        </w:rPr>
        <w:t xml:space="preserve">the interpretation of section 74 in </w:t>
      </w:r>
      <w:proofErr w:type="gramStart"/>
      <w:r>
        <w:rPr>
          <w:rFonts w:cstheme="minorHAnsi"/>
        </w:rPr>
        <w:t>a number of</w:t>
      </w:r>
      <w:proofErr w:type="gramEnd"/>
      <w:r>
        <w:rPr>
          <w:rFonts w:cstheme="minorHAnsi"/>
        </w:rPr>
        <w:t xml:space="preserve"> cases. In the case of </w:t>
      </w:r>
      <w:r>
        <w:rPr>
          <w:rFonts w:cstheme="minorHAnsi"/>
          <w:i/>
          <w:iCs/>
        </w:rPr>
        <w:t xml:space="preserve">R v Justine McNally </w:t>
      </w:r>
      <w:r>
        <w:rPr>
          <w:rFonts w:cstheme="minorHAnsi"/>
        </w:rPr>
        <w:t>[2013] EWCA Crim 1051 the Court determined that “depending on the circumstances, deception as to gender</w:t>
      </w:r>
      <w:r>
        <w:rPr>
          <w:rFonts w:cstheme="minorHAnsi"/>
        </w:rPr>
        <w:t xml:space="preserve"> can vitiate consent”. </w:t>
      </w:r>
    </w:p>
    <w:p w14:paraId="5671FD52" w14:textId="77777777" w:rsidR="0003387F" w:rsidRDefault="0003387F">
      <w:pPr>
        <w:jc w:val="both"/>
        <w:rPr>
          <w:rFonts w:cstheme="minorHAnsi"/>
          <w:b/>
          <w:sz w:val="24"/>
        </w:rPr>
      </w:pPr>
    </w:p>
    <w:p w14:paraId="6E100402" w14:textId="77777777" w:rsidR="0003387F" w:rsidRDefault="00CB170D">
      <w:pPr>
        <w:pStyle w:val="ListParagraph"/>
        <w:numPr>
          <w:ilvl w:val="0"/>
          <w:numId w:val="1"/>
        </w:numPr>
        <w:jc w:val="both"/>
        <w:rPr>
          <w:rFonts w:cstheme="minorHAnsi"/>
        </w:rPr>
      </w:pPr>
      <w:r>
        <w:rPr>
          <w:rFonts w:cstheme="minorHAnsi"/>
          <w:iCs/>
        </w:rPr>
        <w:t>Our legal guidance is an important aspect of our work and provides support to our prosecutors to make effective Code compliant decisions in all cases, thereby helping to ensure the delivery of justice. Crown Prosecutors to whom the</w:t>
      </w:r>
      <w:r>
        <w:rPr>
          <w:rFonts w:cstheme="minorHAnsi"/>
          <w:iCs/>
        </w:rPr>
        <w:t xml:space="preserve"> decision-making function is delegated need to be given the clearest possible guidance about the legal test that they must apply when making charging decisions or reviewing cases. The police, who apply the Code when exercising an important discretion as to</w:t>
      </w:r>
      <w:r>
        <w:rPr>
          <w:rFonts w:cstheme="minorHAnsi"/>
          <w:iCs/>
        </w:rPr>
        <w:t xml:space="preserve"> whether to bring a case to the attention of the Crown Prosecutors for a charging decision, also need guidance to ensure a fair and consistent approach to these difficult and sensitive cases. </w:t>
      </w:r>
    </w:p>
    <w:p w14:paraId="7776BD08" w14:textId="77777777" w:rsidR="0003387F" w:rsidRDefault="0003387F">
      <w:pPr>
        <w:jc w:val="both"/>
        <w:rPr>
          <w:rFonts w:cstheme="minorHAnsi"/>
          <w:iCs/>
        </w:rPr>
      </w:pPr>
    </w:p>
    <w:p w14:paraId="213EC2EF" w14:textId="77777777" w:rsidR="0003387F" w:rsidRDefault="00CB170D">
      <w:pPr>
        <w:pStyle w:val="ListParagraph"/>
        <w:numPr>
          <w:ilvl w:val="0"/>
          <w:numId w:val="1"/>
        </w:numPr>
        <w:jc w:val="both"/>
        <w:rPr>
          <w:rFonts w:cstheme="minorHAnsi"/>
          <w:iCs/>
        </w:rPr>
      </w:pPr>
      <w:r>
        <w:rPr>
          <w:rFonts w:cstheme="minorHAnsi"/>
          <w:iCs/>
        </w:rPr>
        <w:t>These cases involve complex and sensitive decision making. The</w:t>
      </w:r>
      <w:r>
        <w:rPr>
          <w:rFonts w:cstheme="minorHAnsi"/>
          <w:iCs/>
        </w:rPr>
        <w:t xml:space="preserve"> main changes relate to the section on evidential considerations. This section now contains much more detailed guidance on how prosecutors should assess the evidence in these cases. The aim is to alert prosecutors to the various complexities of gender iden</w:t>
      </w:r>
      <w:r>
        <w:rPr>
          <w:rFonts w:cstheme="minorHAnsi"/>
          <w:iCs/>
        </w:rPr>
        <w:t>tity, so that they are properly considered, where relevant, to the issues in any case being reviewed. The guidance also sets out a three staged approach that prosecutors should adopt when considering the question of deception as to gender. The guidance out</w:t>
      </w:r>
      <w:r>
        <w:rPr>
          <w:rFonts w:cstheme="minorHAnsi"/>
          <w:iCs/>
        </w:rPr>
        <w:t xml:space="preserve">lines questions that should be asked at each stage and relevant factors that should be considered.  </w:t>
      </w:r>
    </w:p>
    <w:p w14:paraId="7FC91B5E" w14:textId="77777777" w:rsidR="0003387F" w:rsidRDefault="0003387F">
      <w:pPr>
        <w:pStyle w:val="ListParagraph"/>
        <w:jc w:val="both"/>
        <w:rPr>
          <w:rFonts w:cstheme="minorHAnsi"/>
          <w:iCs/>
        </w:rPr>
      </w:pPr>
    </w:p>
    <w:p w14:paraId="612BEF77" w14:textId="77777777" w:rsidR="0003387F" w:rsidRDefault="00CB170D">
      <w:pPr>
        <w:pStyle w:val="ListParagraph"/>
        <w:numPr>
          <w:ilvl w:val="0"/>
          <w:numId w:val="1"/>
        </w:numPr>
        <w:jc w:val="both"/>
        <w:rPr>
          <w:rFonts w:cstheme="minorHAnsi"/>
          <w:iCs/>
        </w:rPr>
      </w:pPr>
      <w:r>
        <w:rPr>
          <w:rFonts w:cstheme="minorHAnsi"/>
          <w:iCs/>
        </w:rPr>
        <w:t>The public interest factors that should be considered when reviewing these cases have also been expanded to give clearer guidance to prosecutors.</w:t>
      </w:r>
    </w:p>
    <w:p w14:paraId="6D8E8E0E" w14:textId="77777777" w:rsidR="0003387F" w:rsidRDefault="0003387F">
      <w:pPr>
        <w:rPr>
          <w:rFonts w:cstheme="minorHAnsi"/>
        </w:rPr>
      </w:pPr>
    </w:p>
    <w:p w14:paraId="10ECA986" w14:textId="77777777" w:rsidR="0003387F" w:rsidRDefault="00CB170D">
      <w:pPr>
        <w:pStyle w:val="ListParagraph"/>
        <w:numPr>
          <w:ilvl w:val="0"/>
          <w:numId w:val="1"/>
        </w:numPr>
        <w:jc w:val="both"/>
        <w:rPr>
          <w:rFonts w:cstheme="minorHAnsi"/>
        </w:rPr>
      </w:pPr>
      <w:r>
        <w:rPr>
          <w:rFonts w:cstheme="minorHAnsi"/>
        </w:rPr>
        <w:t>After t</w:t>
      </w:r>
      <w:r>
        <w:rPr>
          <w:rFonts w:cstheme="minorHAnsi"/>
        </w:rPr>
        <w:t xml:space="preserve">he consultation closing date, we will consider every individual response received. A summary of the consultation responses and the final version of the revised guidance will be published on the CPS website in accordance with the Government's guidelines. </w:t>
      </w:r>
    </w:p>
    <w:p w14:paraId="623025A9" w14:textId="77777777" w:rsidR="0003387F" w:rsidRDefault="0003387F">
      <w:pPr>
        <w:jc w:val="both"/>
        <w:rPr>
          <w:rFonts w:cstheme="minorHAnsi"/>
        </w:rPr>
      </w:pPr>
    </w:p>
    <w:p w14:paraId="6C21B622" w14:textId="77777777" w:rsidR="0003387F" w:rsidRDefault="00CB170D">
      <w:pPr>
        <w:pStyle w:val="Heading1"/>
        <w:jc w:val="both"/>
        <w:rPr>
          <w:rFonts w:asciiTheme="minorHAnsi" w:hAnsiTheme="minorHAnsi" w:cstheme="minorHAnsi"/>
          <w:sz w:val="24"/>
          <w:szCs w:val="24"/>
        </w:rPr>
      </w:pPr>
      <w:r>
        <w:rPr>
          <w:rFonts w:asciiTheme="minorHAnsi" w:hAnsiTheme="minorHAnsi" w:cstheme="minorHAnsi"/>
          <w:sz w:val="24"/>
          <w:szCs w:val="24"/>
        </w:rPr>
        <w:t xml:space="preserve">Consultation Questions </w:t>
      </w:r>
    </w:p>
    <w:p w14:paraId="64552C36" w14:textId="77777777" w:rsidR="0003387F" w:rsidRDefault="00CB170D">
      <w:pPr>
        <w:pStyle w:val="ListParagraph"/>
        <w:numPr>
          <w:ilvl w:val="0"/>
          <w:numId w:val="1"/>
        </w:numPr>
        <w:jc w:val="both"/>
        <w:rPr>
          <w:rFonts w:cstheme="minorHAnsi"/>
          <w:iCs/>
        </w:rPr>
      </w:pPr>
      <w:r>
        <w:rPr>
          <w:rFonts w:cstheme="minorHAnsi"/>
          <w:iCs/>
        </w:rPr>
        <w:t>The consultation seeks your views on the following questions:</w:t>
      </w:r>
    </w:p>
    <w:p w14:paraId="328E092E" w14:textId="77777777" w:rsidR="0003387F" w:rsidRDefault="00CB170D">
      <w:pPr>
        <w:pStyle w:val="ListParagraph"/>
        <w:numPr>
          <w:ilvl w:val="1"/>
          <w:numId w:val="2"/>
        </w:numPr>
        <w:jc w:val="both"/>
        <w:rPr>
          <w:rFonts w:cstheme="minorHAnsi"/>
          <w:iCs/>
        </w:rPr>
      </w:pPr>
      <w:r>
        <w:rPr>
          <w:rFonts w:cstheme="minorHAnsi"/>
          <w:iCs/>
        </w:rPr>
        <w:t>Question 1 – Do you think that the language used is appropriate and sensitive to the issues addressed? If not, please identify concerns and share how it can be improved.</w:t>
      </w:r>
    </w:p>
    <w:p w14:paraId="0E030354" w14:textId="77777777" w:rsidR="0003387F" w:rsidRDefault="00CB170D">
      <w:pPr>
        <w:pStyle w:val="ListParagraph"/>
        <w:numPr>
          <w:ilvl w:val="1"/>
          <w:numId w:val="2"/>
        </w:numPr>
        <w:jc w:val="both"/>
        <w:rPr>
          <w:rFonts w:cstheme="minorHAnsi"/>
        </w:rPr>
      </w:pPr>
      <w:r>
        <w:rPr>
          <w:rFonts w:cstheme="minorHAnsi"/>
          <w:iCs/>
        </w:rPr>
        <w:t xml:space="preserve">Question 2 - </w:t>
      </w:r>
      <w:r>
        <w:t>When considering the factors that are relevant to prove deception and lack of consent, does the guidance strike the right balance between recognising the rights of trans persons to live fully in their new gender identity and the need not to pu</w:t>
      </w:r>
      <w:r>
        <w:t>t an undue onus on complainants to discover or confirm the gender status of the suspect?</w:t>
      </w:r>
    </w:p>
    <w:p w14:paraId="24A36A49" w14:textId="77777777" w:rsidR="0003387F" w:rsidRDefault="00CB170D">
      <w:pPr>
        <w:pStyle w:val="ListParagraph"/>
        <w:numPr>
          <w:ilvl w:val="1"/>
          <w:numId w:val="2"/>
        </w:numPr>
        <w:jc w:val="both"/>
        <w:rPr>
          <w:rFonts w:cstheme="minorHAnsi"/>
          <w:iCs/>
        </w:rPr>
      </w:pPr>
      <w:r>
        <w:rPr>
          <w:rFonts w:cstheme="minorHAnsi"/>
          <w:iCs/>
        </w:rPr>
        <w:t>Question 3 - Do you agree with the evidential considerations that prosecutors must consider? If not, please identify what should be added, removed, or amended.</w:t>
      </w:r>
    </w:p>
    <w:p w14:paraId="2C3131E9" w14:textId="77777777" w:rsidR="0003387F" w:rsidRDefault="00CB170D">
      <w:pPr>
        <w:pStyle w:val="ListParagraph"/>
        <w:numPr>
          <w:ilvl w:val="1"/>
          <w:numId w:val="2"/>
        </w:numPr>
        <w:jc w:val="both"/>
        <w:rPr>
          <w:rFonts w:cstheme="minorHAnsi"/>
          <w:iCs/>
        </w:rPr>
      </w:pPr>
      <w:r>
        <w:rPr>
          <w:rFonts w:cstheme="minorHAnsi"/>
          <w:iCs/>
        </w:rPr>
        <w:t>Questio</w:t>
      </w:r>
      <w:r>
        <w:rPr>
          <w:rFonts w:cstheme="minorHAnsi"/>
          <w:iCs/>
        </w:rPr>
        <w:t>n 4 – Do you agree with the three stages that should be considered when prosecutors are considering the question of deception as to gender?</w:t>
      </w:r>
    </w:p>
    <w:p w14:paraId="765484BE" w14:textId="77777777" w:rsidR="0003387F" w:rsidRDefault="00CB170D">
      <w:pPr>
        <w:pStyle w:val="ListParagraph"/>
        <w:numPr>
          <w:ilvl w:val="1"/>
          <w:numId w:val="2"/>
        </w:numPr>
        <w:jc w:val="both"/>
        <w:rPr>
          <w:rFonts w:cstheme="minorHAnsi"/>
          <w:iCs/>
        </w:rPr>
      </w:pPr>
      <w:r>
        <w:rPr>
          <w:rFonts w:cstheme="minorHAnsi"/>
          <w:iCs/>
        </w:rPr>
        <w:t>Question 5 – Do you agree with the public interest factors that are listed?</w:t>
      </w:r>
    </w:p>
    <w:p w14:paraId="237569B5" w14:textId="77777777" w:rsidR="0003387F" w:rsidRDefault="00CB170D">
      <w:pPr>
        <w:pStyle w:val="ListParagraph"/>
        <w:numPr>
          <w:ilvl w:val="1"/>
          <w:numId w:val="2"/>
        </w:numPr>
        <w:jc w:val="both"/>
        <w:rPr>
          <w:rFonts w:cstheme="minorHAnsi"/>
          <w:iCs/>
        </w:rPr>
      </w:pPr>
      <w:r>
        <w:rPr>
          <w:rFonts w:cstheme="minorHAnsi"/>
          <w:iCs/>
        </w:rPr>
        <w:t>Question 6 – Are there any further facto</w:t>
      </w:r>
      <w:r>
        <w:rPr>
          <w:rFonts w:cstheme="minorHAnsi"/>
          <w:iCs/>
        </w:rPr>
        <w:t>rs in favour of prosecution that should be included?</w:t>
      </w:r>
    </w:p>
    <w:p w14:paraId="6A6501D1" w14:textId="77777777" w:rsidR="0003387F" w:rsidRDefault="00CB170D">
      <w:pPr>
        <w:pStyle w:val="ListParagraph"/>
        <w:numPr>
          <w:ilvl w:val="1"/>
          <w:numId w:val="2"/>
        </w:numPr>
        <w:jc w:val="both"/>
        <w:rPr>
          <w:rFonts w:cstheme="minorHAnsi"/>
          <w:iCs/>
        </w:rPr>
      </w:pPr>
      <w:r>
        <w:rPr>
          <w:rFonts w:cstheme="minorHAnsi"/>
          <w:iCs/>
        </w:rPr>
        <w:t>Question 7 – Are there any further factors tending against prosecution that should be included?</w:t>
      </w:r>
    </w:p>
    <w:p w14:paraId="4003B08D" w14:textId="77777777" w:rsidR="0003387F" w:rsidRDefault="00CB170D">
      <w:pPr>
        <w:pStyle w:val="ListParagraph"/>
        <w:numPr>
          <w:ilvl w:val="1"/>
          <w:numId w:val="2"/>
        </w:numPr>
        <w:jc w:val="both"/>
        <w:rPr>
          <w:rFonts w:cstheme="minorHAnsi"/>
          <w:iCs/>
        </w:rPr>
      </w:pPr>
      <w:r>
        <w:rPr>
          <w:rFonts w:cstheme="minorHAnsi"/>
          <w:iCs/>
        </w:rPr>
        <w:t>Question 8 - Do you have any other feedback you wish to share around how the revised guidance could be impr</w:t>
      </w:r>
      <w:r>
        <w:rPr>
          <w:rFonts w:cstheme="minorHAnsi"/>
          <w:iCs/>
        </w:rPr>
        <w:t>oved?</w:t>
      </w:r>
    </w:p>
    <w:p w14:paraId="6898F433" w14:textId="77777777" w:rsidR="0003387F" w:rsidRDefault="00CB170D">
      <w:pPr>
        <w:pStyle w:val="Heading1"/>
        <w:jc w:val="both"/>
        <w:rPr>
          <w:rFonts w:asciiTheme="minorHAnsi" w:hAnsiTheme="minorHAnsi" w:cstheme="minorHAnsi"/>
          <w:sz w:val="24"/>
          <w:szCs w:val="24"/>
        </w:rPr>
      </w:pPr>
      <w:r>
        <w:rPr>
          <w:rFonts w:asciiTheme="minorHAnsi" w:hAnsiTheme="minorHAnsi" w:cstheme="minorHAnsi"/>
          <w:sz w:val="24"/>
          <w:szCs w:val="24"/>
        </w:rPr>
        <w:lastRenderedPageBreak/>
        <w:t>How to Respond</w:t>
      </w:r>
    </w:p>
    <w:p w14:paraId="4EDD46B5" w14:textId="77777777" w:rsidR="0003387F" w:rsidRDefault="00CB170D">
      <w:pPr>
        <w:pStyle w:val="ListParagraph"/>
        <w:numPr>
          <w:ilvl w:val="0"/>
          <w:numId w:val="1"/>
        </w:numPr>
        <w:jc w:val="both"/>
        <w:rPr>
          <w:rFonts w:cstheme="minorHAnsi"/>
        </w:rPr>
      </w:pPr>
      <w:r>
        <w:rPr>
          <w:rFonts w:cstheme="minorHAnsi"/>
        </w:rPr>
        <w:t>It would be helpful if you could give your feedback using our online form (see below) for ease of analysis.</w:t>
      </w:r>
    </w:p>
    <w:p w14:paraId="19EE631A" w14:textId="77777777" w:rsidR="0003387F" w:rsidRDefault="0003387F">
      <w:pPr>
        <w:pStyle w:val="ListParagraph"/>
        <w:jc w:val="both"/>
        <w:rPr>
          <w:rFonts w:cstheme="minorHAnsi"/>
        </w:rPr>
      </w:pPr>
    </w:p>
    <w:p w14:paraId="695C8BA6" w14:textId="77777777" w:rsidR="0003387F" w:rsidRDefault="00CB170D">
      <w:pPr>
        <w:pStyle w:val="ListParagraph"/>
        <w:numPr>
          <w:ilvl w:val="0"/>
          <w:numId w:val="1"/>
        </w:numPr>
        <w:jc w:val="both"/>
      </w:pPr>
      <w:r>
        <w:rPr>
          <w:rFonts w:cstheme="minorHAnsi"/>
        </w:rPr>
        <w:t xml:space="preserve">Once you have completed the response form, please return it to </w:t>
      </w:r>
      <w:hyperlink r:id="rId8">
        <w:r>
          <w:rPr>
            <w:rStyle w:val="Hyperlink"/>
            <w:rFonts w:cstheme="minorHAnsi"/>
          </w:rPr>
          <w:t>Gender.Consultation@cps.gov.uk</w:t>
        </w:r>
      </w:hyperlink>
      <w:r>
        <w:rPr>
          <w:rFonts w:cstheme="minorHAnsi"/>
        </w:rPr>
        <w:t xml:space="preserve"> by midnight on 18 December 2022.</w:t>
      </w:r>
    </w:p>
    <w:p w14:paraId="1E6649C8" w14:textId="77777777" w:rsidR="0003387F" w:rsidRDefault="0003387F">
      <w:pPr>
        <w:pStyle w:val="ListParagraph"/>
        <w:jc w:val="both"/>
        <w:rPr>
          <w:rFonts w:cstheme="minorHAnsi"/>
        </w:rPr>
      </w:pPr>
    </w:p>
    <w:p w14:paraId="55293567" w14:textId="77777777" w:rsidR="0003387F" w:rsidRDefault="00CB170D">
      <w:pPr>
        <w:pStyle w:val="ListParagraph"/>
        <w:numPr>
          <w:ilvl w:val="0"/>
          <w:numId w:val="1"/>
        </w:numPr>
        <w:jc w:val="both"/>
        <w:rPr>
          <w:rFonts w:cstheme="minorHAnsi"/>
        </w:rPr>
      </w:pPr>
      <w:r>
        <w:rPr>
          <w:rFonts w:cstheme="minorHAnsi"/>
        </w:rPr>
        <w:t xml:space="preserve">We would prefer electronic submissions if possible but, if you would rather submit your feedback in hard </w:t>
      </w:r>
      <w:proofErr w:type="gramStart"/>
      <w:r>
        <w:rPr>
          <w:rFonts w:cstheme="minorHAnsi"/>
        </w:rPr>
        <w:t>copy</w:t>
      </w:r>
      <w:proofErr w:type="gramEnd"/>
      <w:r>
        <w:rPr>
          <w:rFonts w:cstheme="minorHAnsi"/>
        </w:rPr>
        <w:t xml:space="preserve"> please use the response</w:t>
      </w:r>
      <w:r>
        <w:rPr>
          <w:rFonts w:cstheme="minorHAnsi"/>
        </w:rPr>
        <w:t xml:space="preserve"> form and return it by the same date, to:</w:t>
      </w:r>
    </w:p>
    <w:p w14:paraId="28F28FA7" w14:textId="77777777" w:rsidR="0003387F" w:rsidRDefault="00CB170D">
      <w:pPr>
        <w:ind w:left="1080"/>
        <w:jc w:val="both"/>
        <w:rPr>
          <w:rFonts w:cstheme="minorHAnsi"/>
        </w:rPr>
      </w:pPr>
      <w:r>
        <w:rPr>
          <w:rFonts w:cstheme="minorHAnsi"/>
          <w:sz w:val="24"/>
        </w:rPr>
        <w:t>Deception as to Gender Guidance Consultation</w:t>
      </w:r>
    </w:p>
    <w:p w14:paraId="7C7DCE55" w14:textId="77777777" w:rsidR="0003387F" w:rsidRDefault="00CB170D">
      <w:pPr>
        <w:ind w:left="1080"/>
        <w:jc w:val="both"/>
        <w:rPr>
          <w:rFonts w:cstheme="minorHAnsi"/>
        </w:rPr>
      </w:pPr>
      <w:r>
        <w:rPr>
          <w:rFonts w:cstheme="minorHAnsi"/>
          <w:sz w:val="24"/>
        </w:rPr>
        <w:t>Senior Policy Advisor</w:t>
      </w:r>
    </w:p>
    <w:p w14:paraId="01619CD3" w14:textId="77777777" w:rsidR="0003387F" w:rsidRDefault="00CB170D">
      <w:pPr>
        <w:ind w:left="1080"/>
        <w:jc w:val="both"/>
        <w:rPr>
          <w:rFonts w:cstheme="minorHAnsi"/>
        </w:rPr>
      </w:pPr>
      <w:r>
        <w:rPr>
          <w:rFonts w:cstheme="minorHAnsi"/>
          <w:sz w:val="24"/>
        </w:rPr>
        <w:t>Crown Prosecution Service</w:t>
      </w:r>
    </w:p>
    <w:p w14:paraId="18CA0D91" w14:textId="77777777" w:rsidR="0003387F" w:rsidRDefault="00CB170D">
      <w:pPr>
        <w:ind w:left="1080"/>
        <w:jc w:val="both"/>
        <w:rPr>
          <w:rFonts w:cstheme="minorHAnsi"/>
        </w:rPr>
      </w:pPr>
      <w:r>
        <w:rPr>
          <w:rFonts w:cstheme="minorHAnsi"/>
          <w:sz w:val="24"/>
        </w:rPr>
        <w:t>10th Floor 102 Petty France</w:t>
      </w:r>
    </w:p>
    <w:p w14:paraId="1A772F06" w14:textId="77777777" w:rsidR="0003387F" w:rsidRDefault="00CB170D">
      <w:pPr>
        <w:ind w:left="1080"/>
        <w:jc w:val="both"/>
        <w:rPr>
          <w:rFonts w:cstheme="minorHAnsi"/>
          <w:sz w:val="24"/>
        </w:rPr>
      </w:pPr>
      <w:r>
        <w:rPr>
          <w:rFonts w:cstheme="minorHAnsi"/>
          <w:sz w:val="24"/>
        </w:rPr>
        <w:t>London SW1H 9EA</w:t>
      </w:r>
    </w:p>
    <w:p w14:paraId="6953B2C3" w14:textId="77777777" w:rsidR="0003387F" w:rsidRDefault="0003387F">
      <w:pPr>
        <w:ind w:left="1080"/>
        <w:jc w:val="both"/>
        <w:rPr>
          <w:rFonts w:cstheme="minorHAnsi"/>
        </w:rPr>
      </w:pPr>
    </w:p>
    <w:p w14:paraId="4AFDC02A" w14:textId="77777777" w:rsidR="0003387F" w:rsidRDefault="00CB170D">
      <w:pPr>
        <w:pStyle w:val="ListParagraph"/>
        <w:numPr>
          <w:ilvl w:val="0"/>
          <w:numId w:val="1"/>
        </w:numPr>
        <w:jc w:val="both"/>
        <w:rPr>
          <w:rFonts w:cstheme="minorHAnsi"/>
        </w:rPr>
      </w:pPr>
      <w:r>
        <w:rPr>
          <w:rFonts w:cstheme="minorHAnsi"/>
        </w:rPr>
        <w:t>Please include your name, organisation (if applicable), postal address, tele</w:t>
      </w:r>
      <w:r>
        <w:rPr>
          <w:rFonts w:cstheme="minorHAnsi"/>
        </w:rPr>
        <w:t>phone number and email address in any response.</w:t>
      </w:r>
    </w:p>
    <w:p w14:paraId="03C1DAD6" w14:textId="77777777" w:rsidR="0003387F" w:rsidRDefault="0003387F">
      <w:pPr>
        <w:pStyle w:val="ListParagraph"/>
        <w:jc w:val="both"/>
        <w:rPr>
          <w:rFonts w:cstheme="minorHAnsi"/>
        </w:rPr>
      </w:pPr>
    </w:p>
    <w:p w14:paraId="3EF4F379" w14:textId="77777777" w:rsidR="0003387F" w:rsidRDefault="00CB170D">
      <w:pPr>
        <w:pStyle w:val="ListParagraph"/>
        <w:numPr>
          <w:ilvl w:val="0"/>
          <w:numId w:val="1"/>
        </w:numPr>
        <w:jc w:val="both"/>
        <w:rPr>
          <w:rFonts w:cstheme="minorHAnsi"/>
        </w:rPr>
      </w:pPr>
      <w:r>
        <w:rPr>
          <w:rFonts w:cstheme="minorHAnsi"/>
        </w:rPr>
        <w:t>We look forward to receiving your response.</w:t>
      </w:r>
    </w:p>
    <w:p w14:paraId="562D377B" w14:textId="77777777" w:rsidR="0003387F" w:rsidRDefault="0003387F">
      <w:pPr>
        <w:ind w:left="360"/>
        <w:jc w:val="both"/>
        <w:rPr>
          <w:rFonts w:cstheme="minorHAnsi"/>
        </w:rPr>
      </w:pPr>
    </w:p>
    <w:p w14:paraId="1FB65150" w14:textId="77777777" w:rsidR="0003387F" w:rsidRDefault="0003387F">
      <w:pPr>
        <w:spacing w:line="240" w:lineRule="auto"/>
        <w:rPr>
          <w:rFonts w:cstheme="minorHAnsi"/>
        </w:rPr>
      </w:pPr>
    </w:p>
    <w:p w14:paraId="305A258F" w14:textId="77777777" w:rsidR="0003387F" w:rsidRDefault="00CB170D">
      <w:pPr>
        <w:spacing w:line="240" w:lineRule="auto"/>
        <w:rPr>
          <w:rFonts w:cstheme="minorHAnsi"/>
          <w:b/>
          <w:bCs/>
          <w:sz w:val="24"/>
        </w:rPr>
      </w:pPr>
      <w:r>
        <w:rPr>
          <w:rFonts w:cstheme="minorHAnsi"/>
          <w:b/>
          <w:bCs/>
          <w:sz w:val="24"/>
        </w:rPr>
        <w:t xml:space="preserve">Link to revised Deception as to Gender Guidance </w:t>
      </w:r>
      <w:r>
        <w:br w:type="page"/>
      </w:r>
    </w:p>
    <w:p w14:paraId="0D5F9AF8" w14:textId="77777777" w:rsidR="0003387F" w:rsidRDefault="00CB170D">
      <w:r>
        <w:rPr>
          <w:b/>
        </w:rPr>
        <w:lastRenderedPageBreak/>
        <w:t>RESPONSE TEMPLATE FOR CPS CONSULTATION ON DECEPTION AS TO GENDER GUIDANCE</w:t>
      </w:r>
    </w:p>
    <w:p w14:paraId="27C8E287" w14:textId="77777777" w:rsidR="0003387F" w:rsidRDefault="0003387F"/>
    <w:p w14:paraId="60A724FD" w14:textId="77777777" w:rsidR="0003387F" w:rsidRDefault="00CB170D">
      <w:r>
        <w:t>Name:</w:t>
      </w:r>
      <w:r>
        <w:tab/>
      </w:r>
      <w:r>
        <w:tab/>
      </w:r>
    </w:p>
    <w:p w14:paraId="0742F6D9" w14:textId="77777777" w:rsidR="0003387F" w:rsidRDefault="0003387F"/>
    <w:p w14:paraId="2F049CC1" w14:textId="77777777" w:rsidR="0003387F" w:rsidRDefault="00CB170D">
      <w:r>
        <w:t xml:space="preserve">Organisation (if </w:t>
      </w:r>
      <w:r>
        <w:t>applicable):</w:t>
      </w:r>
    </w:p>
    <w:p w14:paraId="5EFE5B3F" w14:textId="77777777" w:rsidR="0003387F" w:rsidRDefault="0003387F"/>
    <w:p w14:paraId="5EFF767F" w14:textId="77777777" w:rsidR="0003387F" w:rsidRDefault="00CB170D">
      <w:r>
        <w:t>Address:</w:t>
      </w:r>
    </w:p>
    <w:p w14:paraId="0971D496" w14:textId="77777777" w:rsidR="0003387F" w:rsidRDefault="0003387F"/>
    <w:p w14:paraId="6EF527ED" w14:textId="77777777" w:rsidR="0003387F" w:rsidRDefault="00CB170D">
      <w:r>
        <w:t>Telephone:</w:t>
      </w:r>
    </w:p>
    <w:p w14:paraId="4E099A18" w14:textId="77777777" w:rsidR="0003387F" w:rsidRDefault="0003387F"/>
    <w:p w14:paraId="6169733E" w14:textId="77777777" w:rsidR="0003387F" w:rsidRDefault="00CB170D">
      <w:r>
        <w:t>E-mail:</w:t>
      </w:r>
    </w:p>
    <w:p w14:paraId="2576FA46" w14:textId="77777777" w:rsidR="0003387F" w:rsidRDefault="0003387F"/>
    <w:p w14:paraId="606C26B8" w14:textId="77777777" w:rsidR="0003387F" w:rsidRDefault="0003387F"/>
    <w:tbl>
      <w:tblPr>
        <w:tblStyle w:val="TableGrid"/>
        <w:tblW w:w="9016" w:type="dxa"/>
        <w:tblLayout w:type="fixed"/>
        <w:tblLook w:val="04A0" w:firstRow="1" w:lastRow="0" w:firstColumn="1" w:lastColumn="0" w:noHBand="0" w:noVBand="1"/>
      </w:tblPr>
      <w:tblGrid>
        <w:gridCol w:w="9016"/>
      </w:tblGrid>
      <w:tr w:rsidR="0003387F" w14:paraId="6359D4C4" w14:textId="77777777">
        <w:tc>
          <w:tcPr>
            <w:tcW w:w="9016" w:type="dxa"/>
            <w:shd w:val="clear" w:color="auto" w:fill="auto"/>
          </w:tcPr>
          <w:p w14:paraId="30165223" w14:textId="77777777" w:rsidR="0003387F" w:rsidRDefault="00CB170D">
            <w:pPr>
              <w:widowControl w:val="0"/>
              <w:rPr>
                <w:rFonts w:ascii="Calibri" w:hAnsi="Calibri" w:cs="Arial"/>
                <w:b/>
                <w:bCs/>
              </w:rPr>
            </w:pPr>
            <w:r>
              <w:rPr>
                <w:rFonts w:eastAsia="Calibri" w:cs="Arial"/>
                <w:b/>
                <w:bCs/>
              </w:rPr>
              <w:t xml:space="preserve">Q1: </w:t>
            </w:r>
            <w:r>
              <w:rPr>
                <w:rFonts w:cstheme="minorHAnsi"/>
                <w:b/>
                <w:bCs/>
                <w:iCs/>
              </w:rPr>
              <w:t>Do you think that the language used is appropriate and sensitive to the issues addressed? If not, please identify concerns and share how it can be improved.</w:t>
            </w:r>
          </w:p>
        </w:tc>
      </w:tr>
      <w:tr w:rsidR="0003387F" w14:paraId="6F0AC3C8" w14:textId="77777777">
        <w:tc>
          <w:tcPr>
            <w:tcW w:w="9016" w:type="dxa"/>
          </w:tcPr>
          <w:p w14:paraId="08444B0F" w14:textId="77777777" w:rsidR="0003387F" w:rsidRDefault="0003387F">
            <w:pPr>
              <w:widowControl w:val="0"/>
              <w:rPr>
                <w:b/>
                <w:u w:val="single"/>
              </w:rPr>
            </w:pPr>
          </w:p>
          <w:p w14:paraId="3F00287C" w14:textId="77777777" w:rsidR="0003387F" w:rsidRDefault="0003387F">
            <w:pPr>
              <w:widowControl w:val="0"/>
              <w:rPr>
                <w:b/>
                <w:u w:val="single"/>
              </w:rPr>
            </w:pPr>
          </w:p>
          <w:p w14:paraId="041DF312" w14:textId="77777777" w:rsidR="0003387F" w:rsidRDefault="0003387F">
            <w:pPr>
              <w:widowControl w:val="0"/>
              <w:rPr>
                <w:b/>
                <w:u w:val="single"/>
              </w:rPr>
            </w:pPr>
          </w:p>
          <w:p w14:paraId="0C029ABC" w14:textId="77777777" w:rsidR="0003387F" w:rsidRDefault="0003387F">
            <w:pPr>
              <w:widowControl w:val="0"/>
              <w:rPr>
                <w:b/>
                <w:u w:val="single"/>
              </w:rPr>
            </w:pPr>
          </w:p>
          <w:p w14:paraId="5AF6E3AE" w14:textId="77777777" w:rsidR="0003387F" w:rsidRDefault="0003387F">
            <w:pPr>
              <w:widowControl w:val="0"/>
              <w:rPr>
                <w:b/>
                <w:u w:val="single"/>
              </w:rPr>
            </w:pPr>
          </w:p>
          <w:p w14:paraId="4C896BB1" w14:textId="77777777" w:rsidR="0003387F" w:rsidRDefault="0003387F">
            <w:pPr>
              <w:widowControl w:val="0"/>
              <w:rPr>
                <w:b/>
                <w:u w:val="single"/>
              </w:rPr>
            </w:pPr>
          </w:p>
          <w:p w14:paraId="4EF54B34" w14:textId="77777777" w:rsidR="0003387F" w:rsidRDefault="0003387F">
            <w:pPr>
              <w:widowControl w:val="0"/>
              <w:rPr>
                <w:b/>
                <w:u w:val="single"/>
              </w:rPr>
            </w:pPr>
          </w:p>
          <w:p w14:paraId="3352E4EE" w14:textId="77777777" w:rsidR="0003387F" w:rsidRDefault="0003387F">
            <w:pPr>
              <w:widowControl w:val="0"/>
              <w:rPr>
                <w:b/>
                <w:u w:val="single"/>
              </w:rPr>
            </w:pPr>
          </w:p>
          <w:p w14:paraId="0E254C8A" w14:textId="77777777" w:rsidR="0003387F" w:rsidRDefault="0003387F">
            <w:pPr>
              <w:widowControl w:val="0"/>
              <w:rPr>
                <w:b/>
                <w:u w:val="single"/>
              </w:rPr>
            </w:pPr>
          </w:p>
          <w:p w14:paraId="47F607F3" w14:textId="77777777" w:rsidR="0003387F" w:rsidRDefault="0003387F">
            <w:pPr>
              <w:widowControl w:val="0"/>
              <w:rPr>
                <w:b/>
                <w:u w:val="single"/>
              </w:rPr>
            </w:pPr>
          </w:p>
          <w:p w14:paraId="449BC97F" w14:textId="77777777" w:rsidR="0003387F" w:rsidRDefault="0003387F">
            <w:pPr>
              <w:widowControl w:val="0"/>
              <w:rPr>
                <w:b/>
                <w:u w:val="single"/>
              </w:rPr>
            </w:pPr>
          </w:p>
          <w:p w14:paraId="278DED46" w14:textId="77777777" w:rsidR="0003387F" w:rsidRDefault="0003387F">
            <w:pPr>
              <w:widowControl w:val="0"/>
              <w:rPr>
                <w:b/>
                <w:u w:val="single"/>
              </w:rPr>
            </w:pPr>
          </w:p>
          <w:p w14:paraId="0AD44BA2" w14:textId="77777777" w:rsidR="0003387F" w:rsidRDefault="0003387F">
            <w:pPr>
              <w:widowControl w:val="0"/>
              <w:rPr>
                <w:b/>
                <w:u w:val="single"/>
              </w:rPr>
            </w:pPr>
          </w:p>
          <w:p w14:paraId="0D6637FB" w14:textId="77777777" w:rsidR="0003387F" w:rsidRDefault="0003387F">
            <w:pPr>
              <w:widowControl w:val="0"/>
              <w:rPr>
                <w:b/>
                <w:u w:val="single"/>
              </w:rPr>
            </w:pPr>
          </w:p>
          <w:p w14:paraId="257E5F84" w14:textId="77777777" w:rsidR="0003387F" w:rsidRDefault="0003387F">
            <w:pPr>
              <w:widowControl w:val="0"/>
              <w:rPr>
                <w:b/>
                <w:u w:val="single"/>
              </w:rPr>
            </w:pPr>
          </w:p>
          <w:p w14:paraId="7C2321CB" w14:textId="77777777" w:rsidR="0003387F" w:rsidRDefault="0003387F">
            <w:pPr>
              <w:widowControl w:val="0"/>
              <w:rPr>
                <w:b/>
                <w:u w:val="single"/>
              </w:rPr>
            </w:pPr>
          </w:p>
          <w:p w14:paraId="6AD45697" w14:textId="77777777" w:rsidR="0003387F" w:rsidRDefault="0003387F">
            <w:pPr>
              <w:widowControl w:val="0"/>
              <w:rPr>
                <w:b/>
                <w:u w:val="single"/>
              </w:rPr>
            </w:pPr>
          </w:p>
        </w:tc>
      </w:tr>
    </w:tbl>
    <w:p w14:paraId="0B05C346" w14:textId="77777777" w:rsidR="0003387F" w:rsidRDefault="0003387F">
      <w:pPr>
        <w:rPr>
          <w:b/>
          <w:u w:val="single"/>
        </w:rPr>
      </w:pPr>
    </w:p>
    <w:tbl>
      <w:tblPr>
        <w:tblStyle w:val="TableGrid"/>
        <w:tblW w:w="9016" w:type="dxa"/>
        <w:tblLayout w:type="fixed"/>
        <w:tblLook w:val="04A0" w:firstRow="1" w:lastRow="0" w:firstColumn="1" w:lastColumn="0" w:noHBand="0" w:noVBand="1"/>
      </w:tblPr>
      <w:tblGrid>
        <w:gridCol w:w="9016"/>
      </w:tblGrid>
      <w:tr w:rsidR="0003387F" w14:paraId="4ACB8ED9" w14:textId="77777777">
        <w:tc>
          <w:tcPr>
            <w:tcW w:w="9016" w:type="dxa"/>
            <w:shd w:val="clear" w:color="auto" w:fill="auto"/>
          </w:tcPr>
          <w:p w14:paraId="77211264" w14:textId="77777777" w:rsidR="0003387F" w:rsidRDefault="00CB170D">
            <w:pPr>
              <w:widowControl w:val="0"/>
              <w:rPr>
                <w:rFonts w:ascii="Calibri" w:eastAsia="Calibri" w:hAnsi="Calibri" w:cs="Arial"/>
                <w:b/>
                <w:bCs/>
              </w:rPr>
            </w:pPr>
            <w:r>
              <w:rPr>
                <w:rFonts w:eastAsia="Calibri" w:cs="Arial"/>
                <w:b/>
                <w:bCs/>
              </w:rPr>
              <w:t xml:space="preserve">Q2: </w:t>
            </w:r>
            <w:r>
              <w:rPr>
                <w:b/>
                <w:bCs/>
              </w:rPr>
              <w:t xml:space="preserve">When </w:t>
            </w:r>
            <w:r>
              <w:rPr>
                <w:b/>
                <w:bCs/>
              </w:rPr>
              <w:t xml:space="preserve">considering the factors that are relevant to prove deception and lack of consent, does </w:t>
            </w:r>
            <w:r>
              <w:rPr>
                <w:b/>
                <w:bCs/>
              </w:rPr>
              <w:lastRenderedPageBreak/>
              <w:t>the guidance strike the right balance between recognising the rights of trans persons to live fully in their new gender identity and the need not to put an undue onus on</w:t>
            </w:r>
            <w:r>
              <w:rPr>
                <w:b/>
                <w:bCs/>
              </w:rPr>
              <w:t xml:space="preserve"> complainants to discover or confirm the gender status of the suspect?</w:t>
            </w:r>
          </w:p>
        </w:tc>
      </w:tr>
      <w:tr w:rsidR="0003387F" w14:paraId="5A17F92F" w14:textId="77777777">
        <w:tc>
          <w:tcPr>
            <w:tcW w:w="9016" w:type="dxa"/>
          </w:tcPr>
          <w:p w14:paraId="7E33F2DF" w14:textId="77777777" w:rsidR="0003387F" w:rsidRDefault="0003387F">
            <w:pPr>
              <w:widowControl w:val="0"/>
              <w:rPr>
                <w:b/>
                <w:u w:val="single"/>
              </w:rPr>
            </w:pPr>
          </w:p>
          <w:p w14:paraId="29F93F43" w14:textId="77777777" w:rsidR="0003387F" w:rsidRDefault="0003387F">
            <w:pPr>
              <w:widowControl w:val="0"/>
              <w:rPr>
                <w:b/>
                <w:u w:val="single"/>
              </w:rPr>
            </w:pPr>
          </w:p>
          <w:p w14:paraId="59FCB6B2" w14:textId="77777777" w:rsidR="0003387F" w:rsidRDefault="0003387F">
            <w:pPr>
              <w:widowControl w:val="0"/>
              <w:rPr>
                <w:b/>
                <w:u w:val="single"/>
              </w:rPr>
            </w:pPr>
          </w:p>
          <w:p w14:paraId="4EF99DD5" w14:textId="77777777" w:rsidR="0003387F" w:rsidRDefault="0003387F">
            <w:pPr>
              <w:widowControl w:val="0"/>
              <w:rPr>
                <w:b/>
                <w:u w:val="single"/>
              </w:rPr>
            </w:pPr>
          </w:p>
          <w:p w14:paraId="5928E60B" w14:textId="77777777" w:rsidR="0003387F" w:rsidRDefault="0003387F">
            <w:pPr>
              <w:widowControl w:val="0"/>
              <w:rPr>
                <w:b/>
                <w:u w:val="single"/>
              </w:rPr>
            </w:pPr>
          </w:p>
          <w:p w14:paraId="110E22E5" w14:textId="77777777" w:rsidR="0003387F" w:rsidRDefault="0003387F">
            <w:pPr>
              <w:widowControl w:val="0"/>
              <w:rPr>
                <w:b/>
                <w:u w:val="single"/>
              </w:rPr>
            </w:pPr>
          </w:p>
          <w:p w14:paraId="665D5812" w14:textId="77777777" w:rsidR="0003387F" w:rsidRDefault="0003387F">
            <w:pPr>
              <w:widowControl w:val="0"/>
              <w:rPr>
                <w:b/>
                <w:u w:val="single"/>
              </w:rPr>
            </w:pPr>
          </w:p>
          <w:p w14:paraId="2608A32D" w14:textId="77777777" w:rsidR="0003387F" w:rsidRDefault="0003387F">
            <w:pPr>
              <w:widowControl w:val="0"/>
              <w:rPr>
                <w:b/>
                <w:u w:val="single"/>
              </w:rPr>
            </w:pPr>
          </w:p>
          <w:p w14:paraId="3468B9C2" w14:textId="77777777" w:rsidR="0003387F" w:rsidRDefault="0003387F">
            <w:pPr>
              <w:widowControl w:val="0"/>
              <w:rPr>
                <w:b/>
                <w:u w:val="single"/>
              </w:rPr>
            </w:pPr>
          </w:p>
          <w:p w14:paraId="30AB1B19" w14:textId="77777777" w:rsidR="0003387F" w:rsidRDefault="0003387F">
            <w:pPr>
              <w:widowControl w:val="0"/>
              <w:rPr>
                <w:b/>
                <w:u w:val="single"/>
              </w:rPr>
            </w:pPr>
          </w:p>
          <w:p w14:paraId="2F3B5CD5" w14:textId="77777777" w:rsidR="0003387F" w:rsidRDefault="0003387F">
            <w:pPr>
              <w:widowControl w:val="0"/>
              <w:rPr>
                <w:b/>
                <w:u w:val="single"/>
              </w:rPr>
            </w:pPr>
          </w:p>
          <w:p w14:paraId="13652D8D" w14:textId="77777777" w:rsidR="0003387F" w:rsidRDefault="0003387F">
            <w:pPr>
              <w:widowControl w:val="0"/>
              <w:rPr>
                <w:b/>
                <w:u w:val="single"/>
              </w:rPr>
            </w:pPr>
          </w:p>
          <w:p w14:paraId="2B91295B" w14:textId="77777777" w:rsidR="0003387F" w:rsidRDefault="0003387F">
            <w:pPr>
              <w:widowControl w:val="0"/>
              <w:rPr>
                <w:b/>
                <w:u w:val="single"/>
              </w:rPr>
            </w:pPr>
          </w:p>
          <w:p w14:paraId="7AEC4532" w14:textId="77777777" w:rsidR="0003387F" w:rsidRDefault="0003387F">
            <w:pPr>
              <w:widowControl w:val="0"/>
              <w:rPr>
                <w:b/>
                <w:u w:val="single"/>
              </w:rPr>
            </w:pPr>
          </w:p>
          <w:p w14:paraId="552797C2" w14:textId="77777777" w:rsidR="0003387F" w:rsidRDefault="0003387F">
            <w:pPr>
              <w:widowControl w:val="0"/>
              <w:rPr>
                <w:b/>
                <w:u w:val="single"/>
              </w:rPr>
            </w:pPr>
          </w:p>
          <w:p w14:paraId="6AF5CC69" w14:textId="77777777" w:rsidR="0003387F" w:rsidRDefault="0003387F">
            <w:pPr>
              <w:widowControl w:val="0"/>
              <w:rPr>
                <w:b/>
                <w:u w:val="single"/>
              </w:rPr>
            </w:pPr>
          </w:p>
          <w:p w14:paraId="72AFB74D" w14:textId="77777777" w:rsidR="0003387F" w:rsidRDefault="0003387F">
            <w:pPr>
              <w:widowControl w:val="0"/>
              <w:rPr>
                <w:b/>
                <w:u w:val="single"/>
              </w:rPr>
            </w:pPr>
          </w:p>
        </w:tc>
      </w:tr>
    </w:tbl>
    <w:p w14:paraId="64BF75C9" w14:textId="77777777" w:rsidR="0003387F" w:rsidRDefault="0003387F">
      <w:pPr>
        <w:rPr>
          <w:b/>
          <w:u w:val="single"/>
        </w:rPr>
      </w:pPr>
    </w:p>
    <w:p w14:paraId="20168793" w14:textId="77777777" w:rsidR="0003387F" w:rsidRDefault="0003387F">
      <w:pPr>
        <w:rPr>
          <w:b/>
          <w:u w:val="single"/>
        </w:rPr>
      </w:pPr>
    </w:p>
    <w:p w14:paraId="1B5BC6EE" w14:textId="77777777" w:rsidR="0003387F" w:rsidRDefault="0003387F">
      <w:pPr>
        <w:rPr>
          <w:b/>
          <w:u w:val="single"/>
        </w:rPr>
      </w:pPr>
    </w:p>
    <w:p w14:paraId="2AEB589A" w14:textId="77777777" w:rsidR="0003387F" w:rsidRDefault="0003387F">
      <w:pPr>
        <w:rPr>
          <w:b/>
          <w:u w:val="single"/>
        </w:rPr>
      </w:pPr>
    </w:p>
    <w:p w14:paraId="21B2D201" w14:textId="77777777" w:rsidR="0003387F" w:rsidRDefault="0003387F">
      <w:pPr>
        <w:rPr>
          <w:b/>
          <w:u w:val="single"/>
        </w:rPr>
      </w:pPr>
    </w:p>
    <w:tbl>
      <w:tblPr>
        <w:tblStyle w:val="TableGrid"/>
        <w:tblW w:w="9016" w:type="dxa"/>
        <w:tblLayout w:type="fixed"/>
        <w:tblLook w:val="04A0" w:firstRow="1" w:lastRow="0" w:firstColumn="1" w:lastColumn="0" w:noHBand="0" w:noVBand="1"/>
      </w:tblPr>
      <w:tblGrid>
        <w:gridCol w:w="9016"/>
      </w:tblGrid>
      <w:tr w:rsidR="0003387F" w14:paraId="044A298F" w14:textId="77777777">
        <w:tc>
          <w:tcPr>
            <w:tcW w:w="9016" w:type="dxa"/>
          </w:tcPr>
          <w:p w14:paraId="642F43D5" w14:textId="77777777" w:rsidR="0003387F" w:rsidRDefault="00CB170D">
            <w:pPr>
              <w:widowControl w:val="0"/>
              <w:jc w:val="both"/>
              <w:rPr>
                <w:rFonts w:cstheme="minorHAnsi"/>
                <w:b/>
                <w:bCs/>
                <w:iCs/>
              </w:rPr>
            </w:pPr>
            <w:r>
              <w:rPr>
                <w:rFonts w:cs="Arial"/>
                <w:b/>
                <w:bCs/>
              </w:rPr>
              <w:t xml:space="preserve">Q3: </w:t>
            </w:r>
            <w:r>
              <w:rPr>
                <w:rFonts w:cstheme="minorHAnsi"/>
                <w:b/>
                <w:bCs/>
                <w:iCs/>
              </w:rPr>
              <w:t>Do you agree with the evidential considerations that prosecutors must consider? If not, please identify what should be added, removed, or amended.</w:t>
            </w:r>
          </w:p>
        </w:tc>
      </w:tr>
      <w:tr w:rsidR="0003387F" w14:paraId="3F0FB78D" w14:textId="77777777">
        <w:tc>
          <w:tcPr>
            <w:tcW w:w="9016" w:type="dxa"/>
          </w:tcPr>
          <w:p w14:paraId="2C290AFF" w14:textId="77777777" w:rsidR="0003387F" w:rsidRDefault="0003387F">
            <w:pPr>
              <w:widowControl w:val="0"/>
              <w:rPr>
                <w:b/>
                <w:u w:val="single"/>
              </w:rPr>
            </w:pPr>
          </w:p>
          <w:p w14:paraId="3D97AD62" w14:textId="77777777" w:rsidR="0003387F" w:rsidRDefault="0003387F">
            <w:pPr>
              <w:widowControl w:val="0"/>
              <w:rPr>
                <w:b/>
                <w:u w:val="single"/>
              </w:rPr>
            </w:pPr>
          </w:p>
          <w:p w14:paraId="7EE34CC8" w14:textId="77777777" w:rsidR="0003387F" w:rsidRDefault="0003387F">
            <w:pPr>
              <w:widowControl w:val="0"/>
              <w:rPr>
                <w:b/>
                <w:u w:val="single"/>
              </w:rPr>
            </w:pPr>
          </w:p>
          <w:p w14:paraId="7105A018" w14:textId="77777777" w:rsidR="0003387F" w:rsidRDefault="0003387F">
            <w:pPr>
              <w:widowControl w:val="0"/>
              <w:rPr>
                <w:rFonts w:ascii="Calibri" w:hAnsi="Calibri"/>
                <w:b/>
                <w:u w:val="single"/>
              </w:rPr>
            </w:pPr>
          </w:p>
          <w:p w14:paraId="7FDBBA44" w14:textId="77777777" w:rsidR="0003387F" w:rsidRDefault="0003387F">
            <w:pPr>
              <w:widowControl w:val="0"/>
              <w:rPr>
                <w:b/>
                <w:u w:val="single"/>
              </w:rPr>
            </w:pPr>
          </w:p>
          <w:p w14:paraId="2B85C528" w14:textId="77777777" w:rsidR="0003387F" w:rsidRDefault="0003387F">
            <w:pPr>
              <w:widowControl w:val="0"/>
              <w:rPr>
                <w:b/>
                <w:u w:val="single"/>
              </w:rPr>
            </w:pPr>
          </w:p>
          <w:p w14:paraId="45E94C26" w14:textId="77777777" w:rsidR="0003387F" w:rsidRDefault="0003387F">
            <w:pPr>
              <w:widowControl w:val="0"/>
              <w:rPr>
                <w:b/>
                <w:u w:val="single"/>
              </w:rPr>
            </w:pPr>
          </w:p>
          <w:p w14:paraId="221B259F" w14:textId="77777777" w:rsidR="0003387F" w:rsidRDefault="0003387F">
            <w:pPr>
              <w:widowControl w:val="0"/>
              <w:rPr>
                <w:b/>
                <w:u w:val="single"/>
              </w:rPr>
            </w:pPr>
          </w:p>
          <w:p w14:paraId="067F1A1C" w14:textId="77777777" w:rsidR="0003387F" w:rsidRDefault="0003387F">
            <w:pPr>
              <w:widowControl w:val="0"/>
              <w:rPr>
                <w:b/>
                <w:u w:val="single"/>
              </w:rPr>
            </w:pPr>
          </w:p>
          <w:p w14:paraId="55195360" w14:textId="77777777" w:rsidR="0003387F" w:rsidRDefault="0003387F">
            <w:pPr>
              <w:widowControl w:val="0"/>
              <w:rPr>
                <w:b/>
                <w:u w:val="single"/>
              </w:rPr>
            </w:pPr>
          </w:p>
          <w:p w14:paraId="47A07459" w14:textId="77777777" w:rsidR="0003387F" w:rsidRDefault="0003387F">
            <w:pPr>
              <w:widowControl w:val="0"/>
              <w:rPr>
                <w:b/>
                <w:u w:val="single"/>
              </w:rPr>
            </w:pPr>
          </w:p>
          <w:p w14:paraId="719C5870" w14:textId="77777777" w:rsidR="0003387F" w:rsidRDefault="0003387F">
            <w:pPr>
              <w:widowControl w:val="0"/>
              <w:rPr>
                <w:b/>
                <w:u w:val="single"/>
              </w:rPr>
            </w:pPr>
          </w:p>
          <w:p w14:paraId="15F9C64A" w14:textId="77777777" w:rsidR="0003387F" w:rsidRDefault="0003387F">
            <w:pPr>
              <w:widowControl w:val="0"/>
              <w:rPr>
                <w:b/>
                <w:u w:val="single"/>
              </w:rPr>
            </w:pPr>
          </w:p>
          <w:p w14:paraId="2A38B344" w14:textId="77777777" w:rsidR="0003387F" w:rsidRDefault="0003387F">
            <w:pPr>
              <w:widowControl w:val="0"/>
              <w:rPr>
                <w:b/>
                <w:u w:val="single"/>
              </w:rPr>
            </w:pPr>
          </w:p>
          <w:p w14:paraId="5C41FBE3" w14:textId="77777777" w:rsidR="0003387F" w:rsidRDefault="0003387F">
            <w:pPr>
              <w:widowControl w:val="0"/>
              <w:rPr>
                <w:b/>
                <w:u w:val="single"/>
              </w:rPr>
            </w:pPr>
          </w:p>
          <w:p w14:paraId="6A69188A" w14:textId="77777777" w:rsidR="0003387F" w:rsidRDefault="0003387F">
            <w:pPr>
              <w:widowControl w:val="0"/>
              <w:rPr>
                <w:b/>
                <w:u w:val="single"/>
              </w:rPr>
            </w:pPr>
          </w:p>
          <w:p w14:paraId="5CDF679C" w14:textId="77777777" w:rsidR="0003387F" w:rsidRDefault="0003387F">
            <w:pPr>
              <w:widowControl w:val="0"/>
              <w:rPr>
                <w:b/>
                <w:u w:val="single"/>
              </w:rPr>
            </w:pPr>
          </w:p>
          <w:p w14:paraId="0196A0B8" w14:textId="77777777" w:rsidR="0003387F" w:rsidRDefault="0003387F">
            <w:pPr>
              <w:widowControl w:val="0"/>
              <w:rPr>
                <w:b/>
                <w:u w:val="single"/>
              </w:rPr>
            </w:pPr>
          </w:p>
          <w:p w14:paraId="0AA06C8B" w14:textId="77777777" w:rsidR="0003387F" w:rsidRDefault="0003387F">
            <w:pPr>
              <w:widowControl w:val="0"/>
              <w:rPr>
                <w:b/>
                <w:u w:val="single"/>
              </w:rPr>
            </w:pPr>
          </w:p>
          <w:p w14:paraId="4770BEBA" w14:textId="77777777" w:rsidR="0003387F" w:rsidRDefault="0003387F">
            <w:pPr>
              <w:widowControl w:val="0"/>
              <w:rPr>
                <w:b/>
                <w:u w:val="single"/>
              </w:rPr>
            </w:pPr>
          </w:p>
          <w:p w14:paraId="4B51CDAF" w14:textId="77777777" w:rsidR="0003387F" w:rsidRDefault="0003387F">
            <w:pPr>
              <w:widowControl w:val="0"/>
              <w:rPr>
                <w:b/>
                <w:u w:val="single"/>
              </w:rPr>
            </w:pPr>
          </w:p>
          <w:p w14:paraId="1C4C8825" w14:textId="77777777" w:rsidR="0003387F" w:rsidRDefault="0003387F">
            <w:pPr>
              <w:widowControl w:val="0"/>
              <w:rPr>
                <w:b/>
                <w:u w:val="single"/>
              </w:rPr>
            </w:pPr>
          </w:p>
        </w:tc>
      </w:tr>
    </w:tbl>
    <w:p w14:paraId="59017A55" w14:textId="77777777" w:rsidR="0003387F" w:rsidRDefault="0003387F">
      <w:pPr>
        <w:rPr>
          <w:b/>
          <w:u w:val="single"/>
        </w:rPr>
      </w:pPr>
    </w:p>
    <w:tbl>
      <w:tblPr>
        <w:tblStyle w:val="TableGrid"/>
        <w:tblW w:w="9016" w:type="dxa"/>
        <w:tblLayout w:type="fixed"/>
        <w:tblLook w:val="04A0" w:firstRow="1" w:lastRow="0" w:firstColumn="1" w:lastColumn="0" w:noHBand="0" w:noVBand="1"/>
      </w:tblPr>
      <w:tblGrid>
        <w:gridCol w:w="9016"/>
      </w:tblGrid>
      <w:tr w:rsidR="0003387F" w14:paraId="3FC1A334" w14:textId="77777777">
        <w:tc>
          <w:tcPr>
            <w:tcW w:w="9016" w:type="dxa"/>
          </w:tcPr>
          <w:p w14:paraId="28BEEE1D" w14:textId="77777777" w:rsidR="0003387F" w:rsidRDefault="00CB170D">
            <w:pPr>
              <w:widowControl w:val="0"/>
              <w:jc w:val="both"/>
              <w:rPr>
                <w:rFonts w:cstheme="minorHAnsi"/>
                <w:b/>
                <w:bCs/>
                <w:iCs/>
              </w:rPr>
            </w:pPr>
            <w:r>
              <w:rPr>
                <w:rFonts w:cs="Arial"/>
                <w:b/>
                <w:bCs/>
              </w:rPr>
              <w:t xml:space="preserve">Q4: </w:t>
            </w:r>
            <w:r>
              <w:rPr>
                <w:rFonts w:cstheme="minorHAnsi"/>
                <w:b/>
                <w:bCs/>
                <w:iCs/>
              </w:rPr>
              <w:t>Do you agree with the three stages that should be considered when prosecutors are considering the question of deception as to gender?</w:t>
            </w:r>
          </w:p>
        </w:tc>
      </w:tr>
      <w:tr w:rsidR="0003387F" w14:paraId="12217376" w14:textId="77777777">
        <w:tc>
          <w:tcPr>
            <w:tcW w:w="9016" w:type="dxa"/>
          </w:tcPr>
          <w:p w14:paraId="029EE579" w14:textId="77777777" w:rsidR="0003387F" w:rsidRDefault="0003387F">
            <w:pPr>
              <w:widowControl w:val="0"/>
              <w:rPr>
                <w:b/>
                <w:u w:val="single"/>
              </w:rPr>
            </w:pPr>
          </w:p>
          <w:p w14:paraId="24D615CC" w14:textId="77777777" w:rsidR="0003387F" w:rsidRDefault="0003387F">
            <w:pPr>
              <w:widowControl w:val="0"/>
              <w:rPr>
                <w:b/>
                <w:u w:val="single"/>
              </w:rPr>
            </w:pPr>
          </w:p>
          <w:p w14:paraId="440EE77D" w14:textId="77777777" w:rsidR="0003387F" w:rsidRDefault="0003387F">
            <w:pPr>
              <w:widowControl w:val="0"/>
              <w:rPr>
                <w:b/>
                <w:u w:val="single"/>
              </w:rPr>
            </w:pPr>
          </w:p>
          <w:p w14:paraId="0AD36F9E" w14:textId="77777777" w:rsidR="0003387F" w:rsidRDefault="0003387F">
            <w:pPr>
              <w:widowControl w:val="0"/>
              <w:rPr>
                <w:b/>
                <w:u w:val="single"/>
              </w:rPr>
            </w:pPr>
          </w:p>
          <w:p w14:paraId="6C6DC5A1" w14:textId="77777777" w:rsidR="0003387F" w:rsidRDefault="0003387F">
            <w:pPr>
              <w:widowControl w:val="0"/>
              <w:rPr>
                <w:b/>
                <w:u w:val="single"/>
              </w:rPr>
            </w:pPr>
          </w:p>
          <w:p w14:paraId="4A43AB65" w14:textId="77777777" w:rsidR="0003387F" w:rsidRDefault="0003387F">
            <w:pPr>
              <w:widowControl w:val="0"/>
              <w:rPr>
                <w:b/>
                <w:u w:val="single"/>
              </w:rPr>
            </w:pPr>
          </w:p>
          <w:p w14:paraId="21132FEA" w14:textId="77777777" w:rsidR="0003387F" w:rsidRDefault="0003387F">
            <w:pPr>
              <w:widowControl w:val="0"/>
              <w:rPr>
                <w:b/>
                <w:u w:val="single"/>
              </w:rPr>
            </w:pPr>
          </w:p>
          <w:p w14:paraId="7821DEE6" w14:textId="77777777" w:rsidR="0003387F" w:rsidRDefault="0003387F">
            <w:pPr>
              <w:widowControl w:val="0"/>
              <w:rPr>
                <w:b/>
                <w:u w:val="single"/>
              </w:rPr>
            </w:pPr>
          </w:p>
          <w:p w14:paraId="467114EA" w14:textId="77777777" w:rsidR="0003387F" w:rsidRDefault="0003387F">
            <w:pPr>
              <w:widowControl w:val="0"/>
              <w:rPr>
                <w:b/>
                <w:u w:val="single"/>
              </w:rPr>
            </w:pPr>
          </w:p>
          <w:p w14:paraId="7B3C3C7B" w14:textId="77777777" w:rsidR="0003387F" w:rsidRDefault="0003387F">
            <w:pPr>
              <w:widowControl w:val="0"/>
              <w:rPr>
                <w:b/>
                <w:u w:val="single"/>
              </w:rPr>
            </w:pPr>
          </w:p>
          <w:p w14:paraId="50E934F7" w14:textId="77777777" w:rsidR="0003387F" w:rsidRDefault="0003387F">
            <w:pPr>
              <w:widowControl w:val="0"/>
              <w:rPr>
                <w:b/>
                <w:u w:val="single"/>
              </w:rPr>
            </w:pPr>
          </w:p>
          <w:p w14:paraId="1DA1D25B" w14:textId="77777777" w:rsidR="0003387F" w:rsidRDefault="0003387F">
            <w:pPr>
              <w:widowControl w:val="0"/>
              <w:rPr>
                <w:b/>
                <w:u w:val="single"/>
              </w:rPr>
            </w:pPr>
          </w:p>
          <w:p w14:paraId="640FB2BD" w14:textId="77777777" w:rsidR="0003387F" w:rsidRDefault="0003387F">
            <w:pPr>
              <w:widowControl w:val="0"/>
              <w:rPr>
                <w:b/>
                <w:u w:val="single"/>
              </w:rPr>
            </w:pPr>
          </w:p>
          <w:p w14:paraId="4948FA04" w14:textId="77777777" w:rsidR="0003387F" w:rsidRDefault="0003387F">
            <w:pPr>
              <w:widowControl w:val="0"/>
              <w:rPr>
                <w:b/>
                <w:u w:val="single"/>
              </w:rPr>
            </w:pPr>
          </w:p>
          <w:p w14:paraId="0FAC40E0" w14:textId="77777777" w:rsidR="0003387F" w:rsidRDefault="0003387F">
            <w:pPr>
              <w:widowControl w:val="0"/>
              <w:rPr>
                <w:b/>
                <w:u w:val="single"/>
              </w:rPr>
            </w:pPr>
          </w:p>
          <w:p w14:paraId="5E41878C" w14:textId="77777777" w:rsidR="0003387F" w:rsidRDefault="0003387F">
            <w:pPr>
              <w:widowControl w:val="0"/>
              <w:rPr>
                <w:b/>
                <w:u w:val="single"/>
              </w:rPr>
            </w:pPr>
          </w:p>
          <w:p w14:paraId="12F9EC37" w14:textId="77777777" w:rsidR="0003387F" w:rsidRDefault="0003387F">
            <w:pPr>
              <w:widowControl w:val="0"/>
              <w:rPr>
                <w:b/>
                <w:u w:val="single"/>
              </w:rPr>
            </w:pPr>
          </w:p>
          <w:p w14:paraId="18E7B21B" w14:textId="77777777" w:rsidR="0003387F" w:rsidRDefault="0003387F">
            <w:pPr>
              <w:widowControl w:val="0"/>
              <w:rPr>
                <w:b/>
                <w:u w:val="single"/>
              </w:rPr>
            </w:pPr>
          </w:p>
          <w:p w14:paraId="0BA86B29" w14:textId="77777777" w:rsidR="0003387F" w:rsidRDefault="0003387F">
            <w:pPr>
              <w:widowControl w:val="0"/>
              <w:rPr>
                <w:b/>
                <w:u w:val="single"/>
              </w:rPr>
            </w:pPr>
          </w:p>
          <w:p w14:paraId="5723C3F5" w14:textId="77777777" w:rsidR="0003387F" w:rsidRDefault="0003387F">
            <w:pPr>
              <w:widowControl w:val="0"/>
              <w:rPr>
                <w:b/>
                <w:u w:val="single"/>
              </w:rPr>
            </w:pPr>
          </w:p>
        </w:tc>
      </w:tr>
    </w:tbl>
    <w:p w14:paraId="28572719" w14:textId="77777777" w:rsidR="0003387F" w:rsidRDefault="0003387F">
      <w:pPr>
        <w:rPr>
          <w:b/>
          <w:u w:val="single"/>
        </w:rPr>
      </w:pPr>
    </w:p>
    <w:p w14:paraId="3283AA86" w14:textId="77777777" w:rsidR="0003387F" w:rsidRDefault="0003387F">
      <w:pPr>
        <w:rPr>
          <w:b/>
          <w:u w:val="single"/>
        </w:rPr>
      </w:pPr>
    </w:p>
    <w:tbl>
      <w:tblPr>
        <w:tblStyle w:val="TableGrid"/>
        <w:tblW w:w="9016" w:type="dxa"/>
        <w:tblLayout w:type="fixed"/>
        <w:tblLook w:val="04A0" w:firstRow="1" w:lastRow="0" w:firstColumn="1" w:lastColumn="0" w:noHBand="0" w:noVBand="1"/>
      </w:tblPr>
      <w:tblGrid>
        <w:gridCol w:w="9016"/>
      </w:tblGrid>
      <w:tr w:rsidR="0003387F" w14:paraId="08C4643D" w14:textId="77777777">
        <w:tc>
          <w:tcPr>
            <w:tcW w:w="9016" w:type="dxa"/>
          </w:tcPr>
          <w:p w14:paraId="00319240" w14:textId="77777777" w:rsidR="0003387F" w:rsidRDefault="00CB170D">
            <w:pPr>
              <w:widowControl w:val="0"/>
              <w:jc w:val="both"/>
              <w:rPr>
                <w:rFonts w:cstheme="minorHAnsi"/>
                <w:b/>
                <w:bCs/>
                <w:iCs/>
                <w:szCs w:val="22"/>
              </w:rPr>
            </w:pPr>
            <w:r>
              <w:rPr>
                <w:rFonts w:cs="Arial"/>
                <w:b/>
                <w:bCs/>
              </w:rPr>
              <w:t xml:space="preserve">Q5: </w:t>
            </w:r>
            <w:r>
              <w:rPr>
                <w:rFonts w:cstheme="minorHAnsi"/>
                <w:b/>
                <w:bCs/>
                <w:iCs/>
              </w:rPr>
              <w:t>Do you agree with the public interest factors that are listed?</w:t>
            </w:r>
          </w:p>
        </w:tc>
      </w:tr>
      <w:tr w:rsidR="0003387F" w14:paraId="496D9DD9" w14:textId="77777777">
        <w:tc>
          <w:tcPr>
            <w:tcW w:w="9016" w:type="dxa"/>
          </w:tcPr>
          <w:p w14:paraId="71463A78" w14:textId="77777777" w:rsidR="0003387F" w:rsidRDefault="0003387F">
            <w:pPr>
              <w:widowControl w:val="0"/>
              <w:rPr>
                <w:b/>
                <w:u w:val="single"/>
              </w:rPr>
            </w:pPr>
          </w:p>
          <w:p w14:paraId="2E3E12A9" w14:textId="77777777" w:rsidR="0003387F" w:rsidRDefault="0003387F">
            <w:pPr>
              <w:widowControl w:val="0"/>
              <w:rPr>
                <w:b/>
                <w:u w:val="single"/>
              </w:rPr>
            </w:pPr>
          </w:p>
          <w:p w14:paraId="1E5E9884" w14:textId="77777777" w:rsidR="0003387F" w:rsidRDefault="0003387F">
            <w:pPr>
              <w:widowControl w:val="0"/>
              <w:rPr>
                <w:b/>
                <w:u w:val="single"/>
              </w:rPr>
            </w:pPr>
          </w:p>
          <w:p w14:paraId="2E0DBF7E" w14:textId="77777777" w:rsidR="0003387F" w:rsidRDefault="0003387F">
            <w:pPr>
              <w:widowControl w:val="0"/>
              <w:rPr>
                <w:rFonts w:ascii="Calibri" w:hAnsi="Calibri"/>
                <w:b/>
                <w:u w:val="single"/>
              </w:rPr>
            </w:pPr>
          </w:p>
          <w:p w14:paraId="60781FCF" w14:textId="77777777" w:rsidR="0003387F" w:rsidRDefault="0003387F">
            <w:pPr>
              <w:widowControl w:val="0"/>
              <w:rPr>
                <w:b/>
                <w:u w:val="single"/>
              </w:rPr>
            </w:pPr>
          </w:p>
          <w:p w14:paraId="7B693CA2" w14:textId="77777777" w:rsidR="0003387F" w:rsidRDefault="0003387F">
            <w:pPr>
              <w:widowControl w:val="0"/>
              <w:rPr>
                <w:b/>
                <w:u w:val="single"/>
              </w:rPr>
            </w:pPr>
          </w:p>
          <w:p w14:paraId="0F481D66" w14:textId="77777777" w:rsidR="0003387F" w:rsidRDefault="0003387F">
            <w:pPr>
              <w:widowControl w:val="0"/>
              <w:rPr>
                <w:b/>
                <w:u w:val="single"/>
              </w:rPr>
            </w:pPr>
          </w:p>
          <w:p w14:paraId="5C9C7FFC" w14:textId="77777777" w:rsidR="0003387F" w:rsidRDefault="0003387F">
            <w:pPr>
              <w:widowControl w:val="0"/>
              <w:rPr>
                <w:b/>
                <w:u w:val="single"/>
              </w:rPr>
            </w:pPr>
          </w:p>
          <w:p w14:paraId="7AE6CDA5" w14:textId="77777777" w:rsidR="0003387F" w:rsidRDefault="0003387F">
            <w:pPr>
              <w:widowControl w:val="0"/>
              <w:rPr>
                <w:b/>
                <w:u w:val="single"/>
              </w:rPr>
            </w:pPr>
          </w:p>
          <w:p w14:paraId="036C30C0" w14:textId="77777777" w:rsidR="0003387F" w:rsidRDefault="0003387F">
            <w:pPr>
              <w:widowControl w:val="0"/>
              <w:rPr>
                <w:b/>
                <w:u w:val="single"/>
              </w:rPr>
            </w:pPr>
          </w:p>
          <w:p w14:paraId="6896E853" w14:textId="77777777" w:rsidR="0003387F" w:rsidRDefault="0003387F">
            <w:pPr>
              <w:widowControl w:val="0"/>
              <w:rPr>
                <w:b/>
                <w:u w:val="single"/>
              </w:rPr>
            </w:pPr>
          </w:p>
          <w:p w14:paraId="005BA94C" w14:textId="77777777" w:rsidR="0003387F" w:rsidRDefault="0003387F">
            <w:pPr>
              <w:widowControl w:val="0"/>
              <w:rPr>
                <w:b/>
                <w:u w:val="single"/>
              </w:rPr>
            </w:pPr>
          </w:p>
          <w:p w14:paraId="577A86B9" w14:textId="77777777" w:rsidR="0003387F" w:rsidRDefault="0003387F">
            <w:pPr>
              <w:widowControl w:val="0"/>
              <w:rPr>
                <w:b/>
                <w:u w:val="single"/>
              </w:rPr>
            </w:pPr>
          </w:p>
          <w:p w14:paraId="128F574E" w14:textId="77777777" w:rsidR="0003387F" w:rsidRDefault="0003387F">
            <w:pPr>
              <w:widowControl w:val="0"/>
              <w:rPr>
                <w:b/>
                <w:u w:val="single"/>
              </w:rPr>
            </w:pPr>
          </w:p>
          <w:p w14:paraId="20150303" w14:textId="77777777" w:rsidR="0003387F" w:rsidRDefault="0003387F">
            <w:pPr>
              <w:widowControl w:val="0"/>
              <w:rPr>
                <w:b/>
                <w:u w:val="single"/>
              </w:rPr>
            </w:pPr>
          </w:p>
          <w:p w14:paraId="61213BFE" w14:textId="77777777" w:rsidR="0003387F" w:rsidRDefault="0003387F">
            <w:pPr>
              <w:widowControl w:val="0"/>
              <w:rPr>
                <w:b/>
                <w:u w:val="single"/>
              </w:rPr>
            </w:pPr>
          </w:p>
          <w:p w14:paraId="53075810" w14:textId="77777777" w:rsidR="0003387F" w:rsidRDefault="0003387F">
            <w:pPr>
              <w:widowControl w:val="0"/>
              <w:rPr>
                <w:b/>
                <w:u w:val="single"/>
              </w:rPr>
            </w:pPr>
          </w:p>
          <w:p w14:paraId="5BCA4104" w14:textId="77777777" w:rsidR="0003387F" w:rsidRDefault="0003387F">
            <w:pPr>
              <w:widowControl w:val="0"/>
              <w:rPr>
                <w:b/>
                <w:u w:val="single"/>
              </w:rPr>
            </w:pPr>
          </w:p>
          <w:p w14:paraId="792D232C" w14:textId="77777777" w:rsidR="0003387F" w:rsidRDefault="0003387F">
            <w:pPr>
              <w:widowControl w:val="0"/>
              <w:rPr>
                <w:b/>
                <w:u w:val="single"/>
              </w:rPr>
            </w:pPr>
          </w:p>
          <w:p w14:paraId="53AB3E54" w14:textId="77777777" w:rsidR="0003387F" w:rsidRDefault="0003387F">
            <w:pPr>
              <w:widowControl w:val="0"/>
              <w:rPr>
                <w:b/>
                <w:u w:val="single"/>
              </w:rPr>
            </w:pPr>
          </w:p>
          <w:p w14:paraId="6B82F35B" w14:textId="77777777" w:rsidR="0003387F" w:rsidRDefault="0003387F">
            <w:pPr>
              <w:widowControl w:val="0"/>
              <w:rPr>
                <w:b/>
                <w:u w:val="single"/>
              </w:rPr>
            </w:pPr>
          </w:p>
          <w:p w14:paraId="19BED7E8" w14:textId="77777777" w:rsidR="0003387F" w:rsidRDefault="0003387F">
            <w:pPr>
              <w:widowControl w:val="0"/>
              <w:rPr>
                <w:b/>
                <w:u w:val="single"/>
              </w:rPr>
            </w:pPr>
          </w:p>
        </w:tc>
      </w:tr>
    </w:tbl>
    <w:p w14:paraId="0D4D5B03" w14:textId="77777777" w:rsidR="0003387F" w:rsidRDefault="0003387F">
      <w:pPr>
        <w:rPr>
          <w:b/>
          <w:u w:val="single"/>
        </w:rPr>
      </w:pPr>
    </w:p>
    <w:tbl>
      <w:tblPr>
        <w:tblStyle w:val="TableGrid"/>
        <w:tblW w:w="9016" w:type="dxa"/>
        <w:tblLayout w:type="fixed"/>
        <w:tblLook w:val="04A0" w:firstRow="1" w:lastRow="0" w:firstColumn="1" w:lastColumn="0" w:noHBand="0" w:noVBand="1"/>
      </w:tblPr>
      <w:tblGrid>
        <w:gridCol w:w="9016"/>
      </w:tblGrid>
      <w:tr w:rsidR="0003387F" w14:paraId="55FD0766" w14:textId="77777777">
        <w:tc>
          <w:tcPr>
            <w:tcW w:w="9016" w:type="dxa"/>
          </w:tcPr>
          <w:p w14:paraId="6BA93903" w14:textId="77777777" w:rsidR="0003387F" w:rsidRDefault="00CB170D">
            <w:pPr>
              <w:widowControl w:val="0"/>
              <w:jc w:val="both"/>
              <w:rPr>
                <w:rFonts w:cstheme="minorHAnsi"/>
                <w:b/>
                <w:bCs/>
                <w:iCs/>
                <w:szCs w:val="22"/>
              </w:rPr>
            </w:pPr>
            <w:r>
              <w:rPr>
                <w:rFonts w:cs="Arial"/>
                <w:b/>
                <w:bCs/>
              </w:rPr>
              <w:t xml:space="preserve">Q6: </w:t>
            </w:r>
            <w:r>
              <w:rPr>
                <w:rFonts w:cstheme="minorHAnsi"/>
                <w:b/>
                <w:bCs/>
                <w:iCs/>
              </w:rPr>
              <w:t>Are there any further factors in favour of prosecution that should be included?</w:t>
            </w:r>
          </w:p>
        </w:tc>
      </w:tr>
      <w:tr w:rsidR="0003387F" w14:paraId="7331F738" w14:textId="77777777">
        <w:tc>
          <w:tcPr>
            <w:tcW w:w="9016" w:type="dxa"/>
          </w:tcPr>
          <w:p w14:paraId="6711AFB1" w14:textId="77777777" w:rsidR="0003387F" w:rsidRDefault="0003387F">
            <w:pPr>
              <w:widowControl w:val="0"/>
              <w:rPr>
                <w:b/>
                <w:u w:val="single"/>
              </w:rPr>
            </w:pPr>
          </w:p>
          <w:p w14:paraId="2C8DF8C3" w14:textId="77777777" w:rsidR="0003387F" w:rsidRDefault="0003387F">
            <w:pPr>
              <w:widowControl w:val="0"/>
              <w:rPr>
                <w:b/>
                <w:u w:val="single"/>
              </w:rPr>
            </w:pPr>
          </w:p>
          <w:p w14:paraId="5D8D140D" w14:textId="77777777" w:rsidR="0003387F" w:rsidRDefault="0003387F">
            <w:pPr>
              <w:widowControl w:val="0"/>
              <w:rPr>
                <w:b/>
                <w:u w:val="single"/>
              </w:rPr>
            </w:pPr>
          </w:p>
          <w:p w14:paraId="08470DF1" w14:textId="77777777" w:rsidR="0003387F" w:rsidRDefault="0003387F">
            <w:pPr>
              <w:widowControl w:val="0"/>
              <w:rPr>
                <w:rFonts w:ascii="Calibri" w:hAnsi="Calibri"/>
                <w:b/>
                <w:u w:val="single"/>
              </w:rPr>
            </w:pPr>
          </w:p>
          <w:p w14:paraId="28EE9A83" w14:textId="77777777" w:rsidR="0003387F" w:rsidRDefault="0003387F">
            <w:pPr>
              <w:widowControl w:val="0"/>
              <w:rPr>
                <w:b/>
                <w:u w:val="single"/>
              </w:rPr>
            </w:pPr>
          </w:p>
          <w:p w14:paraId="64AA63C3" w14:textId="77777777" w:rsidR="0003387F" w:rsidRDefault="0003387F">
            <w:pPr>
              <w:widowControl w:val="0"/>
              <w:rPr>
                <w:b/>
                <w:u w:val="single"/>
              </w:rPr>
            </w:pPr>
          </w:p>
          <w:p w14:paraId="77C21750" w14:textId="77777777" w:rsidR="0003387F" w:rsidRDefault="0003387F">
            <w:pPr>
              <w:widowControl w:val="0"/>
              <w:rPr>
                <w:b/>
                <w:u w:val="single"/>
              </w:rPr>
            </w:pPr>
          </w:p>
          <w:p w14:paraId="6C055258" w14:textId="77777777" w:rsidR="0003387F" w:rsidRDefault="0003387F">
            <w:pPr>
              <w:widowControl w:val="0"/>
              <w:rPr>
                <w:b/>
                <w:u w:val="single"/>
              </w:rPr>
            </w:pPr>
          </w:p>
          <w:p w14:paraId="2334E498" w14:textId="77777777" w:rsidR="0003387F" w:rsidRDefault="0003387F">
            <w:pPr>
              <w:widowControl w:val="0"/>
              <w:rPr>
                <w:b/>
                <w:u w:val="single"/>
              </w:rPr>
            </w:pPr>
          </w:p>
          <w:p w14:paraId="3F3260FA" w14:textId="77777777" w:rsidR="0003387F" w:rsidRDefault="0003387F">
            <w:pPr>
              <w:widowControl w:val="0"/>
              <w:rPr>
                <w:b/>
                <w:u w:val="single"/>
              </w:rPr>
            </w:pPr>
          </w:p>
          <w:p w14:paraId="0ABF34C9" w14:textId="77777777" w:rsidR="0003387F" w:rsidRDefault="0003387F">
            <w:pPr>
              <w:widowControl w:val="0"/>
              <w:rPr>
                <w:b/>
                <w:u w:val="single"/>
              </w:rPr>
            </w:pPr>
          </w:p>
          <w:p w14:paraId="6458ADF4" w14:textId="77777777" w:rsidR="0003387F" w:rsidRDefault="0003387F">
            <w:pPr>
              <w:widowControl w:val="0"/>
              <w:rPr>
                <w:b/>
                <w:u w:val="single"/>
              </w:rPr>
            </w:pPr>
          </w:p>
          <w:p w14:paraId="3916468D" w14:textId="77777777" w:rsidR="0003387F" w:rsidRDefault="0003387F">
            <w:pPr>
              <w:widowControl w:val="0"/>
              <w:rPr>
                <w:b/>
                <w:u w:val="single"/>
              </w:rPr>
            </w:pPr>
          </w:p>
          <w:p w14:paraId="269D720E" w14:textId="77777777" w:rsidR="0003387F" w:rsidRDefault="0003387F">
            <w:pPr>
              <w:widowControl w:val="0"/>
              <w:rPr>
                <w:b/>
                <w:u w:val="single"/>
              </w:rPr>
            </w:pPr>
          </w:p>
          <w:p w14:paraId="012D4CF8" w14:textId="77777777" w:rsidR="0003387F" w:rsidRDefault="0003387F">
            <w:pPr>
              <w:widowControl w:val="0"/>
              <w:rPr>
                <w:b/>
                <w:u w:val="single"/>
              </w:rPr>
            </w:pPr>
          </w:p>
          <w:p w14:paraId="41EE7D51" w14:textId="77777777" w:rsidR="0003387F" w:rsidRDefault="0003387F">
            <w:pPr>
              <w:widowControl w:val="0"/>
              <w:rPr>
                <w:b/>
                <w:u w:val="single"/>
              </w:rPr>
            </w:pPr>
          </w:p>
          <w:p w14:paraId="754A613E" w14:textId="77777777" w:rsidR="0003387F" w:rsidRDefault="0003387F">
            <w:pPr>
              <w:widowControl w:val="0"/>
              <w:rPr>
                <w:b/>
                <w:u w:val="single"/>
              </w:rPr>
            </w:pPr>
          </w:p>
          <w:p w14:paraId="41818481" w14:textId="77777777" w:rsidR="0003387F" w:rsidRDefault="0003387F">
            <w:pPr>
              <w:widowControl w:val="0"/>
              <w:rPr>
                <w:b/>
                <w:u w:val="single"/>
              </w:rPr>
            </w:pPr>
          </w:p>
          <w:p w14:paraId="20C521CE" w14:textId="77777777" w:rsidR="0003387F" w:rsidRDefault="0003387F">
            <w:pPr>
              <w:widowControl w:val="0"/>
              <w:rPr>
                <w:b/>
                <w:u w:val="single"/>
              </w:rPr>
            </w:pPr>
          </w:p>
          <w:p w14:paraId="45AEA69D" w14:textId="77777777" w:rsidR="0003387F" w:rsidRDefault="0003387F">
            <w:pPr>
              <w:widowControl w:val="0"/>
              <w:rPr>
                <w:b/>
                <w:u w:val="single"/>
              </w:rPr>
            </w:pPr>
          </w:p>
          <w:p w14:paraId="583AB983" w14:textId="77777777" w:rsidR="0003387F" w:rsidRDefault="0003387F">
            <w:pPr>
              <w:widowControl w:val="0"/>
              <w:rPr>
                <w:b/>
                <w:u w:val="single"/>
              </w:rPr>
            </w:pPr>
          </w:p>
          <w:p w14:paraId="5FEBC6AE" w14:textId="77777777" w:rsidR="0003387F" w:rsidRDefault="0003387F">
            <w:pPr>
              <w:widowControl w:val="0"/>
              <w:rPr>
                <w:b/>
                <w:u w:val="single"/>
              </w:rPr>
            </w:pPr>
          </w:p>
        </w:tc>
      </w:tr>
    </w:tbl>
    <w:p w14:paraId="5EE622C4" w14:textId="77777777" w:rsidR="0003387F" w:rsidRDefault="0003387F">
      <w:pPr>
        <w:rPr>
          <w:b/>
          <w:u w:val="single"/>
        </w:rPr>
      </w:pPr>
    </w:p>
    <w:tbl>
      <w:tblPr>
        <w:tblStyle w:val="TableGrid"/>
        <w:tblW w:w="9016" w:type="dxa"/>
        <w:tblLayout w:type="fixed"/>
        <w:tblLook w:val="04A0" w:firstRow="1" w:lastRow="0" w:firstColumn="1" w:lastColumn="0" w:noHBand="0" w:noVBand="1"/>
      </w:tblPr>
      <w:tblGrid>
        <w:gridCol w:w="9016"/>
      </w:tblGrid>
      <w:tr w:rsidR="0003387F" w14:paraId="091B36D7" w14:textId="77777777">
        <w:tc>
          <w:tcPr>
            <w:tcW w:w="9016" w:type="dxa"/>
          </w:tcPr>
          <w:p w14:paraId="3DD0AA1F" w14:textId="77777777" w:rsidR="0003387F" w:rsidRDefault="00CB170D">
            <w:pPr>
              <w:widowControl w:val="0"/>
              <w:jc w:val="both"/>
              <w:rPr>
                <w:rFonts w:cstheme="minorHAnsi"/>
                <w:b/>
                <w:bCs/>
                <w:iCs/>
                <w:szCs w:val="22"/>
              </w:rPr>
            </w:pPr>
            <w:r>
              <w:rPr>
                <w:rFonts w:cs="Arial"/>
                <w:b/>
                <w:bCs/>
              </w:rPr>
              <w:t xml:space="preserve">Q7: </w:t>
            </w:r>
            <w:r>
              <w:rPr>
                <w:rFonts w:cstheme="minorHAnsi"/>
                <w:b/>
                <w:bCs/>
                <w:iCs/>
              </w:rPr>
              <w:t>Are there any further factors tending against prosecution that should be included?</w:t>
            </w:r>
          </w:p>
        </w:tc>
      </w:tr>
      <w:tr w:rsidR="0003387F" w14:paraId="0D24233F" w14:textId="77777777">
        <w:tc>
          <w:tcPr>
            <w:tcW w:w="9016" w:type="dxa"/>
          </w:tcPr>
          <w:p w14:paraId="741385D5" w14:textId="77777777" w:rsidR="0003387F" w:rsidRDefault="0003387F">
            <w:pPr>
              <w:widowControl w:val="0"/>
              <w:rPr>
                <w:b/>
                <w:u w:val="single"/>
              </w:rPr>
            </w:pPr>
          </w:p>
          <w:p w14:paraId="2C023145" w14:textId="77777777" w:rsidR="0003387F" w:rsidRDefault="0003387F">
            <w:pPr>
              <w:widowControl w:val="0"/>
              <w:rPr>
                <w:b/>
                <w:u w:val="single"/>
              </w:rPr>
            </w:pPr>
          </w:p>
          <w:p w14:paraId="6B28E554" w14:textId="77777777" w:rsidR="0003387F" w:rsidRDefault="0003387F">
            <w:pPr>
              <w:widowControl w:val="0"/>
              <w:rPr>
                <w:b/>
                <w:u w:val="single"/>
              </w:rPr>
            </w:pPr>
          </w:p>
          <w:p w14:paraId="1AF2A960" w14:textId="77777777" w:rsidR="0003387F" w:rsidRDefault="0003387F">
            <w:pPr>
              <w:widowControl w:val="0"/>
              <w:rPr>
                <w:rFonts w:ascii="Calibri" w:hAnsi="Calibri"/>
                <w:b/>
                <w:u w:val="single"/>
              </w:rPr>
            </w:pPr>
          </w:p>
          <w:p w14:paraId="6A58840A" w14:textId="77777777" w:rsidR="0003387F" w:rsidRDefault="0003387F">
            <w:pPr>
              <w:widowControl w:val="0"/>
              <w:rPr>
                <w:b/>
                <w:u w:val="single"/>
              </w:rPr>
            </w:pPr>
          </w:p>
          <w:p w14:paraId="60CE6E5D" w14:textId="77777777" w:rsidR="0003387F" w:rsidRDefault="0003387F">
            <w:pPr>
              <w:widowControl w:val="0"/>
              <w:rPr>
                <w:b/>
                <w:u w:val="single"/>
              </w:rPr>
            </w:pPr>
          </w:p>
          <w:p w14:paraId="6A6CD3DA" w14:textId="77777777" w:rsidR="0003387F" w:rsidRDefault="0003387F">
            <w:pPr>
              <w:widowControl w:val="0"/>
              <w:rPr>
                <w:b/>
                <w:u w:val="single"/>
              </w:rPr>
            </w:pPr>
          </w:p>
          <w:p w14:paraId="6C084BE0" w14:textId="77777777" w:rsidR="0003387F" w:rsidRDefault="0003387F">
            <w:pPr>
              <w:widowControl w:val="0"/>
              <w:rPr>
                <w:b/>
                <w:u w:val="single"/>
              </w:rPr>
            </w:pPr>
          </w:p>
          <w:p w14:paraId="1553CFFB" w14:textId="77777777" w:rsidR="0003387F" w:rsidRDefault="0003387F">
            <w:pPr>
              <w:widowControl w:val="0"/>
              <w:rPr>
                <w:b/>
                <w:u w:val="single"/>
              </w:rPr>
            </w:pPr>
          </w:p>
          <w:p w14:paraId="4B5E908C" w14:textId="77777777" w:rsidR="0003387F" w:rsidRDefault="0003387F">
            <w:pPr>
              <w:widowControl w:val="0"/>
              <w:rPr>
                <w:b/>
                <w:u w:val="single"/>
              </w:rPr>
            </w:pPr>
          </w:p>
          <w:p w14:paraId="05DC25D4" w14:textId="77777777" w:rsidR="0003387F" w:rsidRDefault="0003387F">
            <w:pPr>
              <w:widowControl w:val="0"/>
              <w:rPr>
                <w:b/>
                <w:u w:val="single"/>
              </w:rPr>
            </w:pPr>
          </w:p>
          <w:p w14:paraId="69A3D6C2" w14:textId="77777777" w:rsidR="0003387F" w:rsidRDefault="0003387F">
            <w:pPr>
              <w:widowControl w:val="0"/>
              <w:rPr>
                <w:b/>
                <w:u w:val="single"/>
              </w:rPr>
            </w:pPr>
          </w:p>
          <w:p w14:paraId="4D72B8C7" w14:textId="77777777" w:rsidR="0003387F" w:rsidRDefault="0003387F">
            <w:pPr>
              <w:widowControl w:val="0"/>
              <w:rPr>
                <w:b/>
                <w:u w:val="single"/>
              </w:rPr>
            </w:pPr>
          </w:p>
          <w:p w14:paraId="45277E23" w14:textId="77777777" w:rsidR="0003387F" w:rsidRDefault="0003387F">
            <w:pPr>
              <w:widowControl w:val="0"/>
              <w:rPr>
                <w:b/>
                <w:u w:val="single"/>
              </w:rPr>
            </w:pPr>
          </w:p>
          <w:p w14:paraId="171EE85F" w14:textId="77777777" w:rsidR="0003387F" w:rsidRDefault="0003387F">
            <w:pPr>
              <w:widowControl w:val="0"/>
              <w:rPr>
                <w:b/>
                <w:u w:val="single"/>
              </w:rPr>
            </w:pPr>
          </w:p>
          <w:p w14:paraId="17C54E52" w14:textId="77777777" w:rsidR="0003387F" w:rsidRDefault="0003387F">
            <w:pPr>
              <w:widowControl w:val="0"/>
              <w:rPr>
                <w:b/>
                <w:u w:val="single"/>
              </w:rPr>
            </w:pPr>
          </w:p>
          <w:p w14:paraId="075A500C" w14:textId="77777777" w:rsidR="0003387F" w:rsidRDefault="0003387F">
            <w:pPr>
              <w:widowControl w:val="0"/>
              <w:rPr>
                <w:b/>
                <w:u w:val="single"/>
              </w:rPr>
            </w:pPr>
          </w:p>
          <w:p w14:paraId="2EBD8EF0" w14:textId="77777777" w:rsidR="0003387F" w:rsidRDefault="0003387F">
            <w:pPr>
              <w:widowControl w:val="0"/>
              <w:rPr>
                <w:b/>
                <w:u w:val="single"/>
              </w:rPr>
            </w:pPr>
          </w:p>
          <w:p w14:paraId="392157F7" w14:textId="77777777" w:rsidR="0003387F" w:rsidRDefault="0003387F">
            <w:pPr>
              <w:widowControl w:val="0"/>
              <w:rPr>
                <w:b/>
                <w:u w:val="single"/>
              </w:rPr>
            </w:pPr>
          </w:p>
          <w:p w14:paraId="4F388335" w14:textId="77777777" w:rsidR="0003387F" w:rsidRDefault="0003387F">
            <w:pPr>
              <w:widowControl w:val="0"/>
              <w:rPr>
                <w:b/>
                <w:u w:val="single"/>
              </w:rPr>
            </w:pPr>
          </w:p>
          <w:p w14:paraId="460E7859" w14:textId="77777777" w:rsidR="0003387F" w:rsidRDefault="0003387F">
            <w:pPr>
              <w:widowControl w:val="0"/>
              <w:rPr>
                <w:b/>
                <w:u w:val="single"/>
              </w:rPr>
            </w:pPr>
          </w:p>
          <w:p w14:paraId="342BBDFB" w14:textId="77777777" w:rsidR="0003387F" w:rsidRDefault="0003387F">
            <w:pPr>
              <w:widowControl w:val="0"/>
              <w:rPr>
                <w:b/>
                <w:u w:val="single"/>
              </w:rPr>
            </w:pPr>
          </w:p>
        </w:tc>
      </w:tr>
    </w:tbl>
    <w:p w14:paraId="3E68F24A" w14:textId="77777777" w:rsidR="0003387F" w:rsidRDefault="0003387F"/>
    <w:tbl>
      <w:tblPr>
        <w:tblStyle w:val="TableGrid"/>
        <w:tblW w:w="9016" w:type="dxa"/>
        <w:tblLayout w:type="fixed"/>
        <w:tblLook w:val="04A0" w:firstRow="1" w:lastRow="0" w:firstColumn="1" w:lastColumn="0" w:noHBand="0" w:noVBand="1"/>
      </w:tblPr>
      <w:tblGrid>
        <w:gridCol w:w="9016"/>
      </w:tblGrid>
      <w:tr w:rsidR="0003387F" w14:paraId="0BAA0471" w14:textId="77777777">
        <w:tc>
          <w:tcPr>
            <w:tcW w:w="9016" w:type="dxa"/>
          </w:tcPr>
          <w:p w14:paraId="5B23E8E2" w14:textId="77777777" w:rsidR="0003387F" w:rsidRDefault="00CB170D">
            <w:pPr>
              <w:widowControl w:val="0"/>
              <w:jc w:val="both"/>
              <w:rPr>
                <w:rFonts w:cstheme="minorHAnsi"/>
                <w:b/>
                <w:bCs/>
                <w:iCs/>
                <w:szCs w:val="22"/>
              </w:rPr>
            </w:pPr>
            <w:r>
              <w:rPr>
                <w:rFonts w:cs="Arial"/>
                <w:b/>
                <w:bCs/>
              </w:rPr>
              <w:t xml:space="preserve">Q8: </w:t>
            </w:r>
            <w:r>
              <w:rPr>
                <w:rFonts w:cstheme="minorHAnsi"/>
                <w:b/>
                <w:bCs/>
                <w:iCs/>
              </w:rPr>
              <w:t xml:space="preserve">Do you have </w:t>
            </w:r>
            <w:r>
              <w:rPr>
                <w:rFonts w:cstheme="minorHAnsi"/>
                <w:b/>
                <w:bCs/>
                <w:iCs/>
              </w:rPr>
              <w:t>any other feedback you wish to share around how the revised guidance could be improved?</w:t>
            </w:r>
          </w:p>
        </w:tc>
      </w:tr>
      <w:tr w:rsidR="0003387F" w14:paraId="2769C910" w14:textId="77777777">
        <w:tc>
          <w:tcPr>
            <w:tcW w:w="9016" w:type="dxa"/>
          </w:tcPr>
          <w:p w14:paraId="14790A77" w14:textId="77777777" w:rsidR="0003387F" w:rsidRDefault="0003387F">
            <w:pPr>
              <w:widowControl w:val="0"/>
              <w:rPr>
                <w:b/>
                <w:u w:val="single"/>
              </w:rPr>
            </w:pPr>
          </w:p>
          <w:p w14:paraId="02933F8A" w14:textId="77777777" w:rsidR="0003387F" w:rsidRDefault="0003387F">
            <w:pPr>
              <w:widowControl w:val="0"/>
              <w:rPr>
                <w:b/>
                <w:u w:val="single"/>
              </w:rPr>
            </w:pPr>
          </w:p>
          <w:p w14:paraId="65F94F79" w14:textId="77777777" w:rsidR="0003387F" w:rsidRDefault="0003387F">
            <w:pPr>
              <w:widowControl w:val="0"/>
              <w:rPr>
                <w:b/>
                <w:u w:val="single"/>
              </w:rPr>
            </w:pPr>
          </w:p>
          <w:p w14:paraId="286AB398" w14:textId="77777777" w:rsidR="0003387F" w:rsidRDefault="0003387F">
            <w:pPr>
              <w:widowControl w:val="0"/>
              <w:rPr>
                <w:rFonts w:ascii="Calibri" w:hAnsi="Calibri"/>
                <w:b/>
                <w:u w:val="single"/>
              </w:rPr>
            </w:pPr>
          </w:p>
          <w:p w14:paraId="2078A882" w14:textId="77777777" w:rsidR="0003387F" w:rsidRDefault="0003387F">
            <w:pPr>
              <w:widowControl w:val="0"/>
              <w:rPr>
                <w:b/>
                <w:u w:val="single"/>
              </w:rPr>
            </w:pPr>
          </w:p>
          <w:p w14:paraId="4FE55858" w14:textId="77777777" w:rsidR="0003387F" w:rsidRDefault="0003387F">
            <w:pPr>
              <w:widowControl w:val="0"/>
              <w:rPr>
                <w:b/>
                <w:u w:val="single"/>
              </w:rPr>
            </w:pPr>
          </w:p>
          <w:p w14:paraId="2C7B0EFF" w14:textId="77777777" w:rsidR="0003387F" w:rsidRDefault="0003387F">
            <w:pPr>
              <w:widowControl w:val="0"/>
              <w:rPr>
                <w:b/>
                <w:u w:val="single"/>
              </w:rPr>
            </w:pPr>
          </w:p>
          <w:p w14:paraId="07FB1D1D" w14:textId="77777777" w:rsidR="0003387F" w:rsidRDefault="0003387F">
            <w:pPr>
              <w:widowControl w:val="0"/>
              <w:rPr>
                <w:b/>
                <w:u w:val="single"/>
              </w:rPr>
            </w:pPr>
          </w:p>
          <w:p w14:paraId="47989828" w14:textId="77777777" w:rsidR="0003387F" w:rsidRDefault="0003387F">
            <w:pPr>
              <w:widowControl w:val="0"/>
              <w:rPr>
                <w:b/>
                <w:u w:val="single"/>
              </w:rPr>
            </w:pPr>
          </w:p>
          <w:p w14:paraId="44122054" w14:textId="77777777" w:rsidR="0003387F" w:rsidRDefault="0003387F">
            <w:pPr>
              <w:widowControl w:val="0"/>
              <w:rPr>
                <w:b/>
                <w:u w:val="single"/>
              </w:rPr>
            </w:pPr>
          </w:p>
          <w:p w14:paraId="066F22A4" w14:textId="77777777" w:rsidR="0003387F" w:rsidRDefault="0003387F">
            <w:pPr>
              <w:widowControl w:val="0"/>
              <w:rPr>
                <w:b/>
                <w:u w:val="single"/>
              </w:rPr>
            </w:pPr>
          </w:p>
          <w:p w14:paraId="7090A52C" w14:textId="77777777" w:rsidR="0003387F" w:rsidRDefault="0003387F">
            <w:pPr>
              <w:widowControl w:val="0"/>
              <w:rPr>
                <w:b/>
                <w:u w:val="single"/>
              </w:rPr>
            </w:pPr>
          </w:p>
          <w:p w14:paraId="781D80A4" w14:textId="77777777" w:rsidR="0003387F" w:rsidRDefault="0003387F">
            <w:pPr>
              <w:widowControl w:val="0"/>
              <w:rPr>
                <w:b/>
                <w:u w:val="single"/>
              </w:rPr>
            </w:pPr>
          </w:p>
          <w:p w14:paraId="1EDD16EE" w14:textId="77777777" w:rsidR="0003387F" w:rsidRDefault="0003387F">
            <w:pPr>
              <w:widowControl w:val="0"/>
              <w:rPr>
                <w:b/>
                <w:u w:val="single"/>
              </w:rPr>
            </w:pPr>
          </w:p>
          <w:p w14:paraId="22C56BF9" w14:textId="77777777" w:rsidR="0003387F" w:rsidRDefault="0003387F">
            <w:pPr>
              <w:widowControl w:val="0"/>
              <w:rPr>
                <w:b/>
                <w:u w:val="single"/>
              </w:rPr>
            </w:pPr>
          </w:p>
          <w:p w14:paraId="0ACBFC30" w14:textId="77777777" w:rsidR="0003387F" w:rsidRDefault="0003387F">
            <w:pPr>
              <w:widowControl w:val="0"/>
              <w:rPr>
                <w:b/>
                <w:u w:val="single"/>
              </w:rPr>
            </w:pPr>
          </w:p>
          <w:p w14:paraId="4E9670EA" w14:textId="77777777" w:rsidR="0003387F" w:rsidRDefault="0003387F">
            <w:pPr>
              <w:widowControl w:val="0"/>
              <w:rPr>
                <w:b/>
                <w:u w:val="single"/>
              </w:rPr>
            </w:pPr>
          </w:p>
          <w:p w14:paraId="7C7692AD" w14:textId="77777777" w:rsidR="0003387F" w:rsidRDefault="0003387F">
            <w:pPr>
              <w:widowControl w:val="0"/>
              <w:rPr>
                <w:b/>
                <w:u w:val="single"/>
              </w:rPr>
            </w:pPr>
          </w:p>
          <w:p w14:paraId="6BE5F699" w14:textId="77777777" w:rsidR="0003387F" w:rsidRDefault="0003387F">
            <w:pPr>
              <w:widowControl w:val="0"/>
              <w:rPr>
                <w:b/>
                <w:u w:val="single"/>
              </w:rPr>
            </w:pPr>
          </w:p>
          <w:p w14:paraId="7032403E" w14:textId="77777777" w:rsidR="0003387F" w:rsidRDefault="0003387F">
            <w:pPr>
              <w:widowControl w:val="0"/>
              <w:rPr>
                <w:b/>
                <w:u w:val="single"/>
              </w:rPr>
            </w:pPr>
          </w:p>
          <w:p w14:paraId="52D783AF" w14:textId="77777777" w:rsidR="0003387F" w:rsidRDefault="0003387F">
            <w:pPr>
              <w:widowControl w:val="0"/>
              <w:rPr>
                <w:b/>
                <w:u w:val="single"/>
              </w:rPr>
            </w:pPr>
          </w:p>
          <w:p w14:paraId="30E39F7A" w14:textId="77777777" w:rsidR="0003387F" w:rsidRDefault="0003387F">
            <w:pPr>
              <w:widowControl w:val="0"/>
              <w:rPr>
                <w:b/>
                <w:u w:val="single"/>
              </w:rPr>
            </w:pPr>
          </w:p>
        </w:tc>
      </w:tr>
    </w:tbl>
    <w:p w14:paraId="20533811" w14:textId="77777777" w:rsidR="0003387F" w:rsidRDefault="0003387F"/>
    <w:p w14:paraId="339AA211" w14:textId="77777777" w:rsidR="0003387F" w:rsidRDefault="00CB170D">
      <w:pPr>
        <w:rPr>
          <w:b/>
          <w:bCs/>
        </w:rPr>
      </w:pPr>
      <w:r>
        <w:rPr>
          <w:b/>
          <w:bCs/>
        </w:rPr>
        <w:t>How did you hear about this consultation?</w:t>
      </w:r>
    </w:p>
    <w:p w14:paraId="4E48415D" w14:textId="77777777" w:rsidR="0003387F" w:rsidRDefault="0003387F"/>
    <w:p w14:paraId="450068CC" w14:textId="77777777" w:rsidR="0003387F" w:rsidRDefault="00CB170D">
      <w:pPr>
        <w:pStyle w:val="ListParagraph"/>
        <w:numPr>
          <w:ilvl w:val="0"/>
          <w:numId w:val="3"/>
        </w:numPr>
        <w:spacing w:line="240" w:lineRule="auto"/>
        <w:contextualSpacing/>
      </w:pPr>
      <w:r>
        <w:t xml:space="preserve">National press </w:t>
      </w:r>
    </w:p>
    <w:p w14:paraId="3BC1360C" w14:textId="77777777" w:rsidR="0003387F" w:rsidRDefault="00CB170D">
      <w:pPr>
        <w:pStyle w:val="ListParagraph"/>
        <w:numPr>
          <w:ilvl w:val="0"/>
          <w:numId w:val="3"/>
        </w:numPr>
        <w:spacing w:line="240" w:lineRule="auto"/>
        <w:contextualSpacing/>
      </w:pPr>
      <w:r>
        <w:t>Television or Radio</w:t>
      </w:r>
    </w:p>
    <w:p w14:paraId="7E433F53" w14:textId="77777777" w:rsidR="0003387F" w:rsidRDefault="00CB170D">
      <w:pPr>
        <w:pStyle w:val="ListParagraph"/>
        <w:numPr>
          <w:ilvl w:val="0"/>
          <w:numId w:val="3"/>
        </w:numPr>
        <w:spacing w:line="240" w:lineRule="auto"/>
        <w:contextualSpacing/>
      </w:pPr>
      <w:r>
        <w:t>Specialist press (</w:t>
      </w:r>
      <w:proofErr w:type="gramStart"/>
      <w:r>
        <w:t>e.g.</w:t>
      </w:r>
      <w:proofErr w:type="gramEnd"/>
      <w:r>
        <w:t xml:space="preserve"> Law Society Gazette)</w:t>
      </w:r>
    </w:p>
    <w:p w14:paraId="74E1529A" w14:textId="77777777" w:rsidR="0003387F" w:rsidRDefault="00CB170D">
      <w:pPr>
        <w:pStyle w:val="ListParagraph"/>
        <w:numPr>
          <w:ilvl w:val="0"/>
          <w:numId w:val="3"/>
        </w:numPr>
        <w:spacing w:line="240" w:lineRule="auto"/>
        <w:contextualSpacing/>
      </w:pPr>
      <w:r>
        <w:t>CPS Website</w:t>
      </w:r>
    </w:p>
    <w:p w14:paraId="032ADD1A" w14:textId="77777777" w:rsidR="0003387F" w:rsidRDefault="00CB170D">
      <w:pPr>
        <w:pStyle w:val="ListParagraph"/>
        <w:numPr>
          <w:ilvl w:val="0"/>
          <w:numId w:val="3"/>
        </w:numPr>
        <w:spacing w:line="240" w:lineRule="auto"/>
        <w:contextualSpacing/>
      </w:pPr>
      <w:r>
        <w:t xml:space="preserve">SPA </w:t>
      </w:r>
      <w:r>
        <w:t>Website</w:t>
      </w:r>
    </w:p>
    <w:p w14:paraId="1E70EB5D" w14:textId="77777777" w:rsidR="0003387F" w:rsidRDefault="00CB170D">
      <w:pPr>
        <w:pStyle w:val="ListParagraph"/>
        <w:numPr>
          <w:ilvl w:val="0"/>
          <w:numId w:val="3"/>
        </w:numPr>
        <w:spacing w:line="240" w:lineRule="auto"/>
        <w:contextualSpacing/>
      </w:pPr>
      <w:proofErr w:type="gramStart"/>
      <w:r>
        <w:t>Other</w:t>
      </w:r>
      <w:proofErr w:type="gramEnd"/>
      <w:r>
        <w:t xml:space="preserve"> website</w:t>
      </w:r>
    </w:p>
    <w:p w14:paraId="6D021C1C" w14:textId="77777777" w:rsidR="0003387F" w:rsidRDefault="00CB170D">
      <w:pPr>
        <w:pStyle w:val="ListParagraph"/>
        <w:numPr>
          <w:ilvl w:val="0"/>
          <w:numId w:val="3"/>
        </w:numPr>
        <w:spacing w:line="240" w:lineRule="auto"/>
        <w:contextualSpacing/>
      </w:pPr>
      <w:r>
        <w:t>CPS Twitter feed</w:t>
      </w:r>
    </w:p>
    <w:p w14:paraId="04FD6067" w14:textId="77777777" w:rsidR="0003387F" w:rsidRDefault="00CB170D">
      <w:pPr>
        <w:pStyle w:val="ListParagraph"/>
        <w:numPr>
          <w:ilvl w:val="0"/>
          <w:numId w:val="3"/>
        </w:numPr>
        <w:spacing w:line="240" w:lineRule="auto"/>
        <w:contextualSpacing/>
      </w:pPr>
      <w:r>
        <w:t>Other Twitter feed (or social networking site)</w:t>
      </w:r>
    </w:p>
    <w:p w14:paraId="0767F735" w14:textId="77777777" w:rsidR="0003387F" w:rsidRDefault="0003387F">
      <w:pPr>
        <w:ind w:left="360"/>
      </w:pPr>
    </w:p>
    <w:p w14:paraId="3A83710A" w14:textId="77777777" w:rsidR="0003387F" w:rsidRDefault="0003387F">
      <w:pPr>
        <w:pStyle w:val="ListParagraph"/>
        <w:jc w:val="both"/>
        <w:rPr>
          <w:rFonts w:cstheme="minorHAnsi"/>
        </w:rPr>
      </w:pPr>
    </w:p>
    <w:sectPr w:rsidR="0003387F">
      <w:footerReference w:type="default" r:id="rId9"/>
      <w:pgSz w:w="11906" w:h="16838"/>
      <w:pgMar w:top="144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7192" w14:textId="77777777" w:rsidR="00CB170D" w:rsidRDefault="00CB170D">
      <w:pPr>
        <w:spacing w:line="240" w:lineRule="auto"/>
      </w:pPr>
      <w:r>
        <w:separator/>
      </w:r>
    </w:p>
  </w:endnote>
  <w:endnote w:type="continuationSeparator" w:id="0">
    <w:p w14:paraId="1E56FCEF" w14:textId="77777777" w:rsidR="00CB170D" w:rsidRDefault="00CB1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971590"/>
      <w:docPartObj>
        <w:docPartGallery w:val="Page Numbers (Bottom of Page)"/>
        <w:docPartUnique/>
      </w:docPartObj>
    </w:sdtPr>
    <w:sdtEndPr/>
    <w:sdtContent>
      <w:p w14:paraId="3DECEDBF" w14:textId="77777777" w:rsidR="0003387F" w:rsidRDefault="00CB170D">
        <w:pPr>
          <w:pStyle w:val="Footer"/>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11</w:t>
        </w:r>
        <w:r>
          <w:rPr>
            <w:sz w:val="20"/>
            <w:szCs w:val="20"/>
          </w:rPr>
          <w:fldChar w:fldCharType="end"/>
        </w:r>
      </w:p>
    </w:sdtContent>
  </w:sdt>
  <w:p w14:paraId="45698184" w14:textId="77777777" w:rsidR="0003387F" w:rsidRDefault="00033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360D" w14:textId="77777777" w:rsidR="00CB170D" w:rsidRDefault="00CB170D">
      <w:pPr>
        <w:spacing w:line="240" w:lineRule="auto"/>
      </w:pPr>
      <w:r>
        <w:separator/>
      </w:r>
    </w:p>
  </w:footnote>
  <w:footnote w:type="continuationSeparator" w:id="0">
    <w:p w14:paraId="6199E5DB" w14:textId="77777777" w:rsidR="00CB170D" w:rsidRDefault="00CB17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A4C"/>
    <w:multiLevelType w:val="multilevel"/>
    <w:tmpl w:val="743A4B92"/>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440" w:hanging="360"/>
      </w:pPr>
      <w:rPr>
        <w:rFonts w:ascii="Symbol" w:hAnsi="Symbol" w:cs="Symbol" w:hint="default"/>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A93D73"/>
    <w:multiLevelType w:val="multilevel"/>
    <w:tmpl w:val="701070C8"/>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440" w:hanging="360"/>
      </w:pPr>
      <w:rPr>
        <w:rFonts w:ascii="Symbol" w:hAnsi="Symbol" w:cs="Symbol" w:hint="default"/>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C781A49"/>
    <w:multiLevelType w:val="multilevel"/>
    <w:tmpl w:val="53766F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CB25495"/>
    <w:multiLevelType w:val="multilevel"/>
    <w:tmpl w:val="4DC628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7F"/>
    <w:rsid w:val="0003387F"/>
    <w:rsid w:val="002C2EA1"/>
    <w:rsid w:val="00CB170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4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FE1"/>
    <w:pPr>
      <w:spacing w:line="360" w:lineRule="auto"/>
    </w:pPr>
    <w:rPr>
      <w:rFonts w:eastAsia="Times New Roman" w:cs="Times New Roman"/>
      <w:szCs w:val="24"/>
      <w:lang w:eastAsia="en-GB"/>
    </w:rPr>
  </w:style>
  <w:style w:type="paragraph" w:styleId="Heading1">
    <w:name w:val="heading 1"/>
    <w:basedOn w:val="Normal"/>
    <w:next w:val="Normal"/>
    <w:link w:val="Heading1Char"/>
    <w:uiPriority w:val="9"/>
    <w:qFormat/>
    <w:rsid w:val="00AA3340"/>
    <w:pPr>
      <w:keepNext/>
      <w:keepLines/>
      <w:spacing w:before="240" w:after="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4A0664"/>
    <w:pPr>
      <w:keepNext/>
      <w:keepLines/>
      <w:spacing w:before="360" w:after="360"/>
      <w:ind w:left="737"/>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qFormat/>
    <w:locked/>
    <w:rsid w:val="00716A34"/>
    <w:rPr>
      <w:rFonts w:eastAsia="Times New Roman" w:cs="Times New Roman"/>
      <w:sz w:val="24"/>
      <w:szCs w:val="24"/>
      <w:lang w:eastAsia="en-GB"/>
    </w:rPr>
  </w:style>
  <w:style w:type="character" w:customStyle="1" w:styleId="FooterChar">
    <w:name w:val="Footer Char"/>
    <w:basedOn w:val="DefaultParagraphFont"/>
    <w:link w:val="Footer"/>
    <w:uiPriority w:val="99"/>
    <w:qFormat/>
    <w:rsid w:val="008736A0"/>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qFormat/>
    <w:rsid w:val="008736A0"/>
    <w:rPr>
      <w:rFonts w:ascii="Arial" w:eastAsia="Times New Roman" w:hAnsi="Arial" w:cs="Arial"/>
      <w:sz w:val="24"/>
      <w:szCs w:val="24"/>
      <w:lang w:eastAsia="en-GB"/>
    </w:rPr>
  </w:style>
  <w:style w:type="character" w:styleId="Hyperlink">
    <w:name w:val="Hyperlink"/>
    <w:basedOn w:val="DefaultParagraphFont"/>
    <w:uiPriority w:val="99"/>
    <w:unhideWhenUsed/>
    <w:rsid w:val="008736A0"/>
    <w:rPr>
      <w:color w:val="0000FF"/>
      <w:u w:val="single"/>
    </w:rPr>
  </w:style>
  <w:style w:type="character" w:customStyle="1" w:styleId="BalloonTextChar">
    <w:name w:val="Balloon Text Char"/>
    <w:basedOn w:val="DefaultParagraphFont"/>
    <w:link w:val="BalloonText"/>
    <w:uiPriority w:val="99"/>
    <w:semiHidden/>
    <w:qFormat/>
    <w:rsid w:val="00546A47"/>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qFormat/>
    <w:rsid w:val="00AA3340"/>
    <w:rPr>
      <w:rFonts w:ascii="Arial" w:eastAsiaTheme="majorEastAsia" w:hAnsi="Arial" w:cstheme="majorBidi"/>
      <w:b/>
      <w:sz w:val="28"/>
      <w:szCs w:val="32"/>
      <w:lang w:eastAsia="en-GB"/>
    </w:rPr>
  </w:style>
  <w:style w:type="character" w:customStyle="1" w:styleId="FootnoteTextChar">
    <w:name w:val="Footnote Text Char"/>
    <w:basedOn w:val="DefaultParagraphFont"/>
    <w:link w:val="FootnoteText"/>
    <w:uiPriority w:val="99"/>
    <w:semiHidden/>
    <w:qFormat/>
    <w:rsid w:val="002933D6"/>
    <w:rPr>
      <w:rFonts w:ascii="Times New Roman" w:eastAsia="Times New Roman" w:hAnsi="Times New Roman" w:cs="Times New Roman"/>
      <w:sz w:val="20"/>
      <w:szCs w:val="20"/>
      <w:lang w:eastAsia="en-GB"/>
    </w:rPr>
  </w:style>
  <w:style w:type="character" w:customStyle="1" w:styleId="FootnoteCharacters">
    <w:name w:val="Footnote Characters"/>
    <w:uiPriority w:val="99"/>
    <w:semiHidden/>
    <w:unhideWhenUsed/>
    <w:qFormat/>
    <w:rsid w:val="002933D6"/>
    <w:rPr>
      <w:vertAlign w:val="superscript"/>
    </w:rPr>
  </w:style>
  <w:style w:type="character" w:styleId="FootnoteReference">
    <w:name w:val="footnote reference"/>
    <w:rPr>
      <w:vertAlign w:val="superscript"/>
    </w:rPr>
  </w:style>
  <w:style w:type="character" w:styleId="UnresolvedMention">
    <w:name w:val="Unresolved Mention"/>
    <w:basedOn w:val="DefaultParagraphFont"/>
    <w:uiPriority w:val="99"/>
    <w:semiHidden/>
    <w:unhideWhenUsed/>
    <w:qFormat/>
    <w:rsid w:val="003215E6"/>
    <w:rPr>
      <w:color w:val="605E5C"/>
      <w:shd w:val="clear" w:color="auto" w:fill="E1DFDD"/>
    </w:rPr>
  </w:style>
  <w:style w:type="character" w:styleId="FollowedHyperlink">
    <w:name w:val="FollowedHyperlink"/>
    <w:basedOn w:val="DefaultParagraphFont"/>
    <w:uiPriority w:val="99"/>
    <w:semiHidden/>
    <w:unhideWhenUsed/>
    <w:rsid w:val="00776CA2"/>
    <w:rPr>
      <w:color w:val="800080" w:themeColor="followedHyperlink"/>
      <w:u w:val="single"/>
    </w:rPr>
  </w:style>
  <w:style w:type="character" w:customStyle="1" w:styleId="Heading2Char">
    <w:name w:val="Heading 2 Char"/>
    <w:basedOn w:val="DefaultParagraphFont"/>
    <w:link w:val="Heading2"/>
    <w:uiPriority w:val="9"/>
    <w:qFormat/>
    <w:rsid w:val="004A0664"/>
    <w:rPr>
      <w:rFonts w:eastAsiaTheme="majorEastAsia" w:cstheme="majorBidi"/>
      <w:b/>
      <w:sz w:val="28"/>
      <w:szCs w:val="26"/>
      <w:lang w:eastAsia="en-GB"/>
    </w:rPr>
  </w:style>
  <w:style w:type="character" w:customStyle="1" w:styleId="HeaderChar">
    <w:name w:val="Header Char"/>
    <w:basedOn w:val="DefaultParagraphFont"/>
    <w:link w:val="Header"/>
    <w:uiPriority w:val="99"/>
    <w:qFormat/>
    <w:rsid w:val="00DF574F"/>
    <w:rPr>
      <w:rFonts w:eastAsia="Times New Roman" w:cs="Times New Roman"/>
      <w:szCs w:val="24"/>
      <w:lang w:eastAsia="en-GB"/>
    </w:rPr>
  </w:style>
  <w:style w:type="character" w:styleId="PlaceholderText">
    <w:name w:val="Placeholder Text"/>
    <w:basedOn w:val="DefaultParagraphFont"/>
    <w:uiPriority w:val="99"/>
    <w:semiHidden/>
    <w:qFormat/>
    <w:rsid w:val="00783672"/>
    <w:rPr>
      <w:color w:val="808080"/>
    </w:rPr>
  </w:style>
  <w:style w:type="character" w:styleId="CommentReference">
    <w:name w:val="annotation reference"/>
    <w:basedOn w:val="DefaultParagraphFont"/>
    <w:uiPriority w:val="99"/>
    <w:semiHidden/>
    <w:unhideWhenUsed/>
    <w:qFormat/>
    <w:rsid w:val="00111DC0"/>
    <w:rPr>
      <w:sz w:val="16"/>
      <w:szCs w:val="16"/>
    </w:rPr>
  </w:style>
  <w:style w:type="character" w:customStyle="1" w:styleId="CommentTextChar">
    <w:name w:val="Comment Text Char"/>
    <w:basedOn w:val="DefaultParagraphFont"/>
    <w:link w:val="CommentText"/>
    <w:uiPriority w:val="99"/>
    <w:semiHidden/>
    <w:qFormat/>
    <w:rsid w:val="00111DC0"/>
    <w:rPr>
      <w:rFonts w:eastAsia="Times New Roman" w:cs="Times New Roman"/>
      <w:sz w:val="20"/>
      <w:szCs w:val="20"/>
      <w:lang w:eastAsia="en-GB"/>
    </w:rPr>
  </w:style>
  <w:style w:type="character" w:customStyle="1" w:styleId="CommentSubjectChar">
    <w:name w:val="Comment Subject Char"/>
    <w:basedOn w:val="CommentTextChar"/>
    <w:link w:val="CommentSubject"/>
    <w:uiPriority w:val="99"/>
    <w:semiHidden/>
    <w:qFormat/>
    <w:rsid w:val="00111DC0"/>
    <w:rPr>
      <w:rFonts w:eastAsia="Times New Roman" w:cs="Times New Roman"/>
      <w:b/>
      <w:bCs/>
      <w:sz w:val="20"/>
      <w:szCs w:val="20"/>
      <w:lang w:eastAsia="en-GB"/>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8736A0"/>
    <w:rPr>
      <w:rFonts w:ascii="Arial" w:hAnsi="Arial" w:cs="Arial"/>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Lohit Devanagari"/>
      <w:lang/>
    </w:rPr>
  </w:style>
  <w:style w:type="paragraph" w:styleId="ListParagraph">
    <w:name w:val="List Paragraph"/>
    <w:basedOn w:val="Normal"/>
    <w:link w:val="ListParagraphChar"/>
    <w:uiPriority w:val="34"/>
    <w:qFormat/>
    <w:rsid w:val="00716A34"/>
    <w:pPr>
      <w:ind w:left="720"/>
    </w:pPr>
    <w:rPr>
      <w:sz w:val="24"/>
    </w:rPr>
  </w:style>
  <w:style w:type="paragraph" w:customStyle="1" w:styleId="HeaderandFooter">
    <w:name w:val="Header and Footer"/>
    <w:basedOn w:val="Normal"/>
    <w:qFormat/>
  </w:style>
  <w:style w:type="paragraph" w:styleId="Footer">
    <w:name w:val="footer"/>
    <w:basedOn w:val="Normal"/>
    <w:link w:val="FooterChar"/>
    <w:uiPriority w:val="99"/>
    <w:unhideWhenUsed/>
    <w:rsid w:val="008736A0"/>
    <w:pPr>
      <w:tabs>
        <w:tab w:val="center" w:pos="4513"/>
        <w:tab w:val="right" w:pos="9026"/>
      </w:tabs>
    </w:pPr>
  </w:style>
  <w:style w:type="paragraph" w:styleId="BalloonText">
    <w:name w:val="Balloon Text"/>
    <w:basedOn w:val="Normal"/>
    <w:link w:val="BalloonTextChar"/>
    <w:uiPriority w:val="99"/>
    <w:semiHidden/>
    <w:unhideWhenUsed/>
    <w:qFormat/>
    <w:rsid w:val="00546A47"/>
    <w:rPr>
      <w:rFonts w:ascii="Segoe UI" w:hAnsi="Segoe UI" w:cs="Segoe UI"/>
      <w:sz w:val="18"/>
      <w:szCs w:val="18"/>
    </w:rPr>
  </w:style>
  <w:style w:type="paragraph" w:styleId="FootnoteText">
    <w:name w:val="footnote text"/>
    <w:basedOn w:val="Normal"/>
    <w:link w:val="FootnoteTextChar"/>
    <w:uiPriority w:val="99"/>
    <w:semiHidden/>
    <w:unhideWhenUsed/>
    <w:rsid w:val="002933D6"/>
    <w:rPr>
      <w:sz w:val="20"/>
      <w:szCs w:val="20"/>
    </w:rPr>
  </w:style>
  <w:style w:type="paragraph" w:styleId="NormalWeb">
    <w:name w:val="Normal (Web)"/>
    <w:basedOn w:val="Normal"/>
    <w:uiPriority w:val="99"/>
    <w:semiHidden/>
    <w:unhideWhenUsed/>
    <w:qFormat/>
    <w:rsid w:val="00C73B21"/>
    <w:pPr>
      <w:spacing w:beforeAutospacing="1" w:afterAutospacing="1"/>
    </w:pPr>
  </w:style>
  <w:style w:type="paragraph" w:styleId="Header">
    <w:name w:val="header"/>
    <w:basedOn w:val="Normal"/>
    <w:link w:val="HeaderChar"/>
    <w:uiPriority w:val="99"/>
    <w:unhideWhenUsed/>
    <w:rsid w:val="00DF574F"/>
    <w:pPr>
      <w:tabs>
        <w:tab w:val="center" w:pos="4513"/>
        <w:tab w:val="right" w:pos="9026"/>
      </w:tabs>
      <w:spacing w:line="240" w:lineRule="auto"/>
    </w:pPr>
  </w:style>
  <w:style w:type="paragraph" w:styleId="CommentText">
    <w:name w:val="annotation text"/>
    <w:basedOn w:val="Normal"/>
    <w:link w:val="CommentTextChar"/>
    <w:uiPriority w:val="99"/>
    <w:semiHidden/>
    <w:unhideWhenUsed/>
    <w:qFormat/>
    <w:rsid w:val="00111DC0"/>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111DC0"/>
    <w:rPr>
      <w:b/>
      <w:bCs/>
    </w:rPr>
  </w:style>
  <w:style w:type="paragraph" w:customStyle="1" w:styleId="xmsonormal">
    <w:name w:val="x_msonormal"/>
    <w:basedOn w:val="Normal"/>
    <w:qFormat/>
    <w:rsid w:val="00746C3F"/>
    <w:pPr>
      <w:spacing w:line="240" w:lineRule="auto"/>
    </w:pPr>
    <w:rPr>
      <w:rFonts w:ascii="Calibri" w:eastAsiaTheme="minorHAnsi" w:hAnsi="Calibri" w:cs="Calibri"/>
      <w:szCs w:val="22"/>
    </w:rPr>
  </w:style>
  <w:style w:type="table" w:styleId="TableGrid">
    <w:name w:val="Table Grid"/>
    <w:basedOn w:val="TableNormal"/>
    <w:uiPriority w:val="59"/>
    <w:rsid w:val="0007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ender.Consultation@cps.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26A87-9DE6-43EA-AC8A-7693996B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2022-09-26T09:58:00Z</dcterms:created>
  <dcterms:modified xsi:type="dcterms:W3CDTF">2022-09-26T09:58:00Z</dcterms:modified>
  <dc:language/>
</cp:coreProperties>
</file>